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CBC1" w14:textId="00139A8D" w:rsidR="00985867" w:rsidRPr="00A2714A" w:rsidRDefault="00985867" w:rsidP="00A2714A">
      <w:pPr>
        <w:spacing w:before="100" w:beforeAutospacing="1" w:after="100" w:afterAutospacing="1" w:line="312" w:lineRule="auto"/>
        <w:jc w:val="center"/>
        <w:rPr>
          <w:rFonts w:ascii="Gill Sans MT" w:eastAsia="Times New Roman" w:hAnsi="Gill Sans MT" w:cs="Times New Roman"/>
          <w:b/>
          <w:bCs/>
          <w:kern w:val="0"/>
          <w:sz w:val="40"/>
          <w:szCs w:val="40"/>
          <w:lang w:val="fr-BE" w:eastAsia="fr-BE"/>
          <w14:ligatures w14:val="none"/>
        </w:rPr>
      </w:pPr>
      <w:r w:rsidRPr="00A2714A">
        <w:rPr>
          <w:rFonts w:ascii="Gill Sans MT" w:eastAsia="Times New Roman" w:hAnsi="Gill Sans MT" w:cs="Times New Roman"/>
          <w:b/>
          <w:bCs/>
          <w:kern w:val="0"/>
          <w:sz w:val="40"/>
          <w:szCs w:val="40"/>
          <w:lang w:val="fr-BE" w:eastAsia="fr-BE"/>
          <w14:ligatures w14:val="none"/>
        </w:rPr>
        <w:t>Peut-on définir Dieu</w:t>
      </w:r>
      <w:r w:rsidR="00A31A89">
        <w:rPr>
          <w:rFonts w:ascii="Arial" w:eastAsia="Times New Roman" w:hAnsi="Arial" w:cs="Arial"/>
          <w:b/>
          <w:bCs/>
          <w:kern w:val="0"/>
          <w:sz w:val="40"/>
          <w:szCs w:val="40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Times New Roman"/>
          <w:b/>
          <w:bCs/>
          <w:kern w:val="0"/>
          <w:sz w:val="40"/>
          <w:szCs w:val="40"/>
          <w:lang w:val="fr-BE" w:eastAsia="fr-BE"/>
          <w14:ligatures w14:val="none"/>
        </w:rPr>
        <w:t>?</w:t>
      </w:r>
    </w:p>
    <w:p w14:paraId="7FBF419B" w14:textId="2C7F52EB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hyperlink r:id="rId7" w:tgtFrame="_blank" w:history="1">
        <w:r w:rsidRPr="00985867">
          <w:rPr>
            <w:rFonts w:ascii="Gill Sans MT" w:eastAsia="Times New Roman" w:hAnsi="Gill Sans MT" w:cs="Times New Roman"/>
            <w:color w:val="0000FF"/>
            <w:kern w:val="0"/>
            <w:sz w:val="28"/>
            <w:szCs w:val="28"/>
            <w:u w:val="single"/>
            <w:lang w:val="fr-BE" w:eastAsia="fr-BE"/>
            <w14:ligatures w14:val="none"/>
          </w:rPr>
          <w:t>La note au sujet du nom propre</w:t>
        </w:r>
      </w:hyperlink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signalait qu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à la différence du nom commun, le nom propre n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est pas (n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est plus) associé à une signification, à un signifié. Il désigne directement quelqu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un, sans passer par l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association d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une signification</w:t>
      </w:r>
      <w:r w:rsidR="00A31A89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 xml:space="preserve"> Pierre n</w:t>
      </w:r>
      <w:r w:rsidR="00A31A89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est pas une pierre, Dieu n</w:t>
      </w:r>
      <w:r w:rsidR="00A31A89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est pas un dieu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</w:t>
      </w:r>
    </w:p>
    <w:p w14:paraId="6744D64F" w14:textId="6B4743F5" w:rsidR="00985867" w:rsidRPr="00985867" w:rsidRDefault="00985867" w:rsidP="00A2714A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Comment définir un nom commun</w:t>
      </w:r>
      <w:r w:rsidR="00A31A89">
        <w:rPr>
          <w:rFonts w:ascii="Arial" w:eastAsia="Times New Roman" w:hAnsi="Arial" w:cs="Arial"/>
          <w:b/>
          <w:bCs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?</w:t>
      </w:r>
    </w:p>
    <w:p w14:paraId="48FFDFE9" w14:textId="7C9FE1E0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Définir un nom commun, c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est procéder à deux opérations mentales, puis les mettre en mots de la façon la plus courte et la plus synthétique possible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</w:t>
      </w:r>
    </w:p>
    <w:p w14:paraId="1B3DD306" w14:textId="375A94F0" w:rsidR="00985867" w:rsidRPr="00985867" w:rsidRDefault="00985867" w:rsidP="00A2714A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Nommer le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genre proche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(l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proche) auquel appartient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objet désigné par le mot à définir.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L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 chaise est un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genre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de 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réalités matérielles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... plus précisément de 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réalités matérielles fabriquées par l</w:t>
      </w:r>
      <w:r w:rsidRPr="00A2714A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être humain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 de 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meubles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... et plus précisément de 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meubles destinés à s</w:t>
      </w:r>
      <w:r w:rsidRPr="00A2714A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asseoir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... en un mot,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objet désigné par le mot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chaise</w:t>
      </w:r>
      <w:r w:rsidRPr="00A2714A">
        <w:rPr>
          <w:rFonts w:ascii="Arial" w:eastAsia="Times New Roman" w:hAnsi="Arial" w:cs="Arial"/>
          <w:i/>
          <w:iCs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i/>
          <w:iCs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appartient au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genre proche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 à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ensemble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des </w:t>
      </w: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u w:val="single"/>
          <w:lang w:val="fr-BE" w:eastAsia="fr-BE"/>
          <w14:ligatures w14:val="none"/>
        </w:rPr>
        <w:t>sièges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.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</w:p>
    <w:p w14:paraId="2DD55DCE" w14:textId="4E46CE27" w:rsidR="00985867" w:rsidRPr="00985867" w:rsidRDefault="00985867" w:rsidP="00A2714A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Énumérer les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traits distinctifs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qui permettent de distinguer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objet désigné par le mot à définir de tous les autres objets qui appartiennent au même ensemble.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B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ien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autres objets appartiennent à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ensemble des </w:t>
      </w: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sièges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 des meubles destinés à s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asseoir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: </w:t>
      </w:r>
      <w:r w:rsidRPr="00985867">
        <w:rPr>
          <w:rFonts w:ascii="Gill Sans MT" w:eastAsia="Times New Roman" w:hAnsi="Gill Sans MT" w:cs="Times New Roman"/>
          <w:i/>
          <w:iCs/>
          <w:kern w:val="0"/>
          <w:sz w:val="28"/>
          <w:szCs w:val="28"/>
          <w:lang w:val="fr-BE" w:eastAsia="fr-BE"/>
          <w14:ligatures w14:val="none"/>
        </w:rPr>
        <w:t>le tabouret, le banc, le fauteuil, la banquette, le pouf, le canapé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... (et lorsqu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 objet manufacturé récent est créé pour s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asseoir et 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aucun mot ne le désigne, est utilisé le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terme générique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 le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siège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de voiture, de selle...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L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es lexicographes du </w:t>
      </w:r>
      <w:hyperlink r:id="rId8" w:tgtFrame="_blank" w:history="1">
        <w:r w:rsidRPr="00985867">
          <w:rPr>
            <w:rFonts w:ascii="Gill Sans MT" w:eastAsia="Times New Roman" w:hAnsi="Gill Sans MT" w:cs="Times New Roman"/>
            <w:color w:val="0000FF"/>
            <w:kern w:val="0"/>
            <w:sz w:val="28"/>
            <w:szCs w:val="28"/>
            <w:u w:val="single"/>
            <w:lang w:val="fr-BE" w:eastAsia="fr-BE"/>
            <w14:ligatures w14:val="none"/>
          </w:rPr>
          <w:t>Petit Larousse</w:t>
        </w:r>
      </w:hyperlink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ont énoncé la définition suivante pour la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chaise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: 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 xml:space="preserve">siège à dossier, sans bras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[«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bras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étant ici un synonyme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accoudoir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]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 présence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 dossier et absence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accoudoirs, cela suffit pour distinguer la chaise des autres sièges.</w:t>
      </w:r>
    </w:p>
    <w:p w14:paraId="1DB91B2D" w14:textId="77777777" w:rsidR="00A2714A" w:rsidRDefault="00985867" w:rsidP="00A2714A">
      <w:pPr>
        <w:spacing w:before="100" w:beforeAutospacing="1" w:after="100" w:afterAutospacing="1" w:line="312" w:lineRule="auto"/>
        <w:ind w:left="720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On le voit définir, ce n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est pas viser une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description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</w:t>
      </w:r>
    </w:p>
    <w:p w14:paraId="7A897654" w14:textId="77777777" w:rsidR="00A2714A" w:rsidRDefault="00A2714A" w:rsidP="00A2714A">
      <w:pPr>
        <w:spacing w:before="100" w:beforeAutospacing="1" w:after="100" w:afterAutospacing="1" w:line="312" w:lineRule="auto"/>
        <w:ind w:left="720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</w:p>
    <w:p w14:paraId="784B50A0" w14:textId="77777777" w:rsidR="00A2714A" w:rsidRDefault="00A2714A" w:rsidP="00A2714A">
      <w:pPr>
        <w:spacing w:before="100" w:beforeAutospacing="1" w:after="100" w:afterAutospacing="1" w:line="312" w:lineRule="auto"/>
        <w:ind w:left="720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</w:p>
    <w:p w14:paraId="5957403F" w14:textId="068D5D92" w:rsidR="00985867" w:rsidRPr="00985867" w:rsidRDefault="00985867" w:rsidP="00A2714A">
      <w:pPr>
        <w:spacing w:before="100" w:beforeAutospacing="1" w:after="100" w:afterAutospacing="1" w:line="312" w:lineRule="auto"/>
        <w:ind w:left="720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lastRenderedPageBreak/>
        <w:t>Mais comment définir Dieu</w:t>
      </w:r>
      <w:r w:rsidRPr="00A2714A">
        <w:rPr>
          <w:rFonts w:ascii="Arial" w:eastAsia="Times New Roman" w:hAnsi="Arial" w:cs="Arial"/>
          <w:b/>
          <w:bCs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?</w:t>
      </w:r>
    </w:p>
    <w:p w14:paraId="03489DE9" w14:textId="06E96081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Les premiers mots qui viennent à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esprit au sujet de Dieu, dans les trois religions qui nous ont transmis ce nom propre, sont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créateur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absolu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 ainsi 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 terme philosophique savant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 : 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transcendant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</w:t>
      </w:r>
    </w:p>
    <w:p w14:paraId="13DEB223" w14:textId="4898551F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Tous ces mots expriment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idée que Dieu n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appartient pas au même ordre de réalité que les êtres, 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il ne fait pas partie de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des êtres existants... logique puisqu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il est affirmé, dans ces religions, que Dieu est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Créateur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par rapport à ce qui existe... il ne fait donc logiquement pas partie de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des êtres, de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des réalités parmi lesquels nous aussi nous existons.</w:t>
      </w:r>
    </w:p>
    <w:p w14:paraId="6164AEEC" w14:textId="43FF5845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Impossible dès lors de nommer un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êtres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, un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genre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êtres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auquel Dieu appartiendrait</w:t>
      </w:r>
    </w:p>
    <w:p w14:paraId="6E978C24" w14:textId="16A61766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Et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unicité de Dieu, affirmée également par ces religions, f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ai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t que le distinguer d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autres êtres n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 pas de sens.</w:t>
      </w:r>
    </w:p>
    <w:p w14:paraId="46E83D4F" w14:textId="77777777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Dieu est logiquement indéfinissable.</w:t>
      </w:r>
    </w:p>
    <w:p w14:paraId="5684DFD5" w14:textId="28753DEC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Les noms qui le nomment sont traditionnellement des noms propres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 Emmanuel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vinas, philosophe de religion juive, défend que ces noms propres ne disent rien de 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ce que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«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serait</w:t>
      </w:r>
      <w:r w:rsidRPr="00A2714A">
        <w:rPr>
          <w:rFonts w:ascii="Arial" w:eastAsia="Times New Roman" w:hAnsi="Arial" w:cs="Arial"/>
          <w:kern w:val="0"/>
          <w:sz w:val="28"/>
          <w:szCs w:val="28"/>
          <w:lang w:val="fr-BE" w:eastAsia="fr-BE"/>
          <w14:ligatures w14:val="none"/>
        </w:rPr>
        <w:t> </w:t>
      </w:r>
      <w:r w:rsidRPr="00A2714A">
        <w:rPr>
          <w:rFonts w:ascii="Gill Sans MT" w:eastAsia="Times New Roman" w:hAnsi="Gill Sans MT" w:cs="Gill Sans MT"/>
          <w:kern w:val="0"/>
          <w:sz w:val="28"/>
          <w:szCs w:val="28"/>
          <w:lang w:val="fr-BE" w:eastAsia="fr-BE"/>
          <w14:ligatures w14:val="none"/>
        </w:rPr>
        <w:t>»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Dieu, mais exprime la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 xml:space="preserve">relation 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que les adhérents aux religions croient que Dieu a avec sa création en général et les humains en particulier.</w:t>
      </w:r>
    </w:p>
    <w:p w14:paraId="428BC9F1" w14:textId="244B6533" w:rsidR="00985867" w:rsidRPr="00985867" w:rsidRDefault="00985867" w:rsidP="00A2714A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Dieu immanent ou Dieu transcendant</w:t>
      </w:r>
      <w:r w:rsidRPr="00A2714A">
        <w:rPr>
          <w:rFonts w:ascii="Arial" w:eastAsia="Times New Roman" w:hAnsi="Arial" w:cs="Arial"/>
          <w:b/>
          <w:bCs/>
          <w:kern w:val="0"/>
          <w:sz w:val="28"/>
          <w:szCs w:val="28"/>
          <w:lang w:val="fr-BE" w:eastAsia="fr-BE"/>
          <w14:ligatures w14:val="none"/>
        </w:rPr>
        <w:t> </w:t>
      </w:r>
      <w:r w:rsidRPr="00985867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val="fr-BE" w:eastAsia="fr-BE"/>
          <w14:ligatures w14:val="none"/>
        </w:rPr>
        <w:t>?</w:t>
      </w:r>
    </w:p>
    <w:p w14:paraId="07CEFB0B" w14:textId="5F122492" w:rsidR="00985867" w:rsidRPr="00985867" w:rsidRDefault="00985867" w:rsidP="00A2714A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Le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panthéisme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considère que Dieu est tout ou que s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il était possible de tout réunir de ce qui est, ce serait Dieu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: Dieu est regardé alors comme 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ensemble des ensembles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. Il est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immanent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[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in </w:t>
      </w:r>
      <w:proofErr w:type="spellStart"/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manere</w:t>
      </w:r>
      <w:proofErr w:type="spellEnd"/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: résider à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intérieur de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]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, c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est-à-dire intérieur à notre ordre de réalité.</w:t>
      </w:r>
    </w:p>
    <w:p w14:paraId="062F0EAC" w14:textId="74BFCD4E" w:rsidR="00E034C1" w:rsidRPr="00A2714A" w:rsidRDefault="00985867" w:rsidP="00A2714A">
      <w:pPr>
        <w:spacing w:before="100" w:beforeAutospacing="1" w:after="100" w:afterAutospacing="1" w:line="312" w:lineRule="auto"/>
        <w:rPr>
          <w:rFonts w:ascii="Gill Sans MT" w:hAnsi="Gill Sans MT"/>
          <w:sz w:val="28"/>
          <w:szCs w:val="28"/>
          <w:lang w:val="fr-BE"/>
        </w:rPr>
      </w:pP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Le judaïsme, le christianisme et la religion musulmane affirment que Dieu 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u w:val="single"/>
          <w:lang w:val="fr-BE" w:eastAsia="fr-BE"/>
          <w14:ligatures w14:val="none"/>
        </w:rPr>
        <w:t>transcende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 xml:space="preserve">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ensemble de ce qui existe, qu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il n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appartient pas à l</w:t>
      </w:r>
      <w:r w:rsidRPr="00A2714A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’</w:t>
      </w:r>
      <w:r w:rsidRPr="00985867">
        <w:rPr>
          <w:rFonts w:ascii="Gill Sans MT" w:eastAsia="Times New Roman" w:hAnsi="Gill Sans MT" w:cs="Times New Roman"/>
          <w:kern w:val="0"/>
          <w:sz w:val="28"/>
          <w:szCs w:val="28"/>
          <w:lang w:val="fr-BE" w:eastAsia="fr-BE"/>
          <w14:ligatures w14:val="none"/>
        </w:rPr>
        <w:t>ordre de réalité dans lequel nous existons.</w:t>
      </w:r>
    </w:p>
    <w:sectPr w:rsidR="00E034C1" w:rsidRPr="00A27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BB08" w14:textId="77777777" w:rsidR="001D2BCC" w:rsidRDefault="001D2BCC" w:rsidP="00985867">
      <w:pPr>
        <w:spacing w:after="0" w:line="240" w:lineRule="auto"/>
      </w:pPr>
      <w:r>
        <w:separator/>
      </w:r>
    </w:p>
  </w:endnote>
  <w:endnote w:type="continuationSeparator" w:id="0">
    <w:p w14:paraId="6055E8A6" w14:textId="77777777" w:rsidR="001D2BCC" w:rsidRDefault="001D2BCC" w:rsidP="0098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6FCF" w14:textId="77777777" w:rsidR="00A31A89" w:rsidRDefault="00A31A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4E0A" w14:textId="2C898CC6" w:rsidR="00A2714A" w:rsidRDefault="00A2714A" w:rsidP="00A2714A">
    <w:pPr>
      <w:pStyle w:val="Pieddepage"/>
      <w:jc w:val="right"/>
    </w:pPr>
    <w:r>
      <w:t>Peut-on définir Dieu</w:t>
    </w:r>
    <w:r w:rsidR="00A31A89">
      <w:t> </w:t>
    </w:r>
    <w:r>
      <w:t xml:space="preserve">? </w:t>
    </w:r>
    <w:r w:rsidR="00A31A89">
      <w:t>–</w:t>
    </w:r>
    <w:r>
      <w:t xml:space="preserve"> </w:t>
    </w:r>
    <w:sdt>
      <w:sdtPr>
        <w:id w:val="-409844999"/>
        <w:docPartObj>
          <w:docPartGallery w:val="Page Numbers (Bottom of Page)"/>
          <w:docPartUnique/>
        </w:docPartObj>
      </w:sdtPr>
      <w:sdtContent>
        <w:r w:rsidRPr="00A2714A">
          <w:rPr>
            <w:sz w:val="20"/>
            <w:szCs w:val="20"/>
          </w:rPr>
          <w:fldChar w:fldCharType="begin"/>
        </w:r>
        <w:r w:rsidRPr="00A2714A">
          <w:rPr>
            <w:sz w:val="20"/>
            <w:szCs w:val="20"/>
          </w:rPr>
          <w:instrText>PAGE   \* MERGEFORMAT</w:instrText>
        </w:r>
        <w:r w:rsidRPr="00A2714A">
          <w:rPr>
            <w:sz w:val="20"/>
            <w:szCs w:val="20"/>
          </w:rPr>
          <w:fldChar w:fldCharType="separate"/>
        </w:r>
        <w:r w:rsidRPr="00A2714A">
          <w:rPr>
            <w:sz w:val="20"/>
            <w:szCs w:val="20"/>
          </w:rPr>
          <w:t>2</w:t>
        </w:r>
        <w:r w:rsidRPr="00A2714A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0E94" w14:textId="77777777" w:rsidR="00A31A89" w:rsidRDefault="00A31A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004E" w14:textId="77777777" w:rsidR="001D2BCC" w:rsidRDefault="001D2BCC" w:rsidP="00985867">
      <w:pPr>
        <w:spacing w:after="0" w:line="240" w:lineRule="auto"/>
      </w:pPr>
      <w:r>
        <w:separator/>
      </w:r>
    </w:p>
  </w:footnote>
  <w:footnote w:type="continuationSeparator" w:id="0">
    <w:p w14:paraId="2BC85C18" w14:textId="77777777" w:rsidR="001D2BCC" w:rsidRDefault="001D2BCC" w:rsidP="0098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ED68" w14:textId="77777777" w:rsidR="00A31A89" w:rsidRDefault="00A31A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9B4" w14:textId="77777777" w:rsidR="00A31A89" w:rsidRDefault="00A31A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BEDB" w14:textId="77777777" w:rsidR="00A31A89" w:rsidRDefault="00A31A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1E98"/>
    <w:multiLevelType w:val="multilevel"/>
    <w:tmpl w:val="D780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32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67"/>
    <w:rsid w:val="001D2BCC"/>
    <w:rsid w:val="00350E9E"/>
    <w:rsid w:val="00392427"/>
    <w:rsid w:val="004870EF"/>
    <w:rsid w:val="00985867"/>
    <w:rsid w:val="00A2714A"/>
    <w:rsid w:val="00A31A89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2E64"/>
  <w15:chartTrackingRefBased/>
  <w15:docId w15:val="{84ADCD34-2095-493C-BE3B-14139BEE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985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fr-BE"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6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8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67"/>
    <w:rPr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985867"/>
    <w:rPr>
      <w:rFonts w:ascii="Times New Roman" w:eastAsia="Times New Roman" w:hAnsi="Times New Roman" w:cs="Times New Roman"/>
      <w:b/>
      <w:bCs/>
      <w:kern w:val="0"/>
      <w:sz w:val="24"/>
      <w:szCs w:val="24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8586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8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ousse.fr/dictionnaires/francais/chaise/1445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allenogare.biz/cours/noms-propres-document-et-perspectiv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2023-12-05T07:25:00Z</dcterms:created>
  <dcterms:modified xsi:type="dcterms:W3CDTF">2023-12-05T07:33:00Z</dcterms:modified>
</cp:coreProperties>
</file>