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uppressLineNumbers w:val="false"/>
        <w:pBdr/>
        <w:spacing w:after="200" w:before="0" w:line="336" w:lineRule="auto"/>
        <w:ind/>
        <w:jc w:val="center"/>
        <w:rPr>
          <w:rFonts w:ascii="Gill Sans MT" w:hAnsi="Gill Sans MT" w:cs="Gill Sans MT"/>
          <w:b/>
          <w:bCs/>
          <w:sz w:val="36"/>
          <w:szCs w:val="36"/>
          <w:highlight w:val="none"/>
        </w:rPr>
      </w:pPr>
      <w:r>
        <w:rPr>
          <w:rFonts w:ascii="Gill Sans MT" w:hAnsi="Gill Sans MT" w:eastAsia="Gill Sans MT" w:cs="Gill Sans MT"/>
          <w:b/>
          <w:bCs/>
          <w:sz w:val="36"/>
          <w:szCs w:val="36"/>
          <w:lang w:val="fr-BE"/>
        </w:rPr>
        <w:t xml:space="preserve">Création de l’être humain : deux récits bibliques</w:t>
      </w:r>
      <w:r>
        <w:rPr>
          <w:rFonts w:ascii="Gill Sans MT" w:hAnsi="Gill Sans MT" w:cs="Gill Sans MT"/>
          <w:b/>
          <w:bCs/>
          <w:sz w:val="36"/>
          <w:szCs w:val="36"/>
        </w:rPr>
      </w:r>
      <w:r>
        <w:rPr>
          <w:rFonts w:ascii="Gill Sans MT" w:hAnsi="Gill Sans MT" w:eastAsia="Gill Sans MT" w:cs="Gill Sans MT"/>
          <w:b/>
          <w:bCs/>
          <w:sz w:val="36"/>
          <w:szCs w:val="36"/>
          <w:highlight w:val="none"/>
        </w:rPr>
      </w:r>
      <w:r>
        <w:rPr>
          <w:rFonts w:ascii="Gill Sans MT" w:hAnsi="Gill Sans MT" w:cs="Gill Sans MT"/>
          <w:b/>
          <w:bCs/>
          <w:sz w:val="36"/>
          <w:szCs w:val="36"/>
          <w:highlight w:val="none"/>
        </w:rPr>
      </w:r>
      <w:r>
        <w:rPr>
          <w:rFonts w:ascii="Gill Sans MT" w:hAnsi="Gill Sans MT" w:cs="Gill Sans MT"/>
          <w:b/>
          <w:bCs/>
          <w:sz w:val="36"/>
          <w:szCs w:val="36"/>
          <w:highlight w:val="none"/>
        </w:rPr>
      </w:r>
      <w:r>
        <w:rPr>
          <w:rFonts w:ascii="Gill Sans MT" w:hAnsi="Gill Sans MT" w:cs="Gill Sans MT"/>
          <w:b/>
          <w:bCs/>
          <w:sz w:val="36"/>
          <w:szCs w:val="36"/>
          <w:highlight w:val="none"/>
        </w:rPr>
      </w:r>
      <w:r>
        <w:rPr>
          <w:rFonts w:ascii="Gill Sans MT" w:hAnsi="Gill Sans MT" w:cs="Gill Sans MT"/>
          <w:b/>
          <w:bCs/>
          <w:sz w:val="36"/>
          <w:szCs w:val="36"/>
          <w:highlight w:val="none"/>
        </w:rPr>
      </w:r>
    </w:p>
    <w:p w14:paraId="0EFBEE2D">
      <w:pPr>
        <w:suppressLineNumbers w:val="false"/>
        <w:pBdr/>
        <w:spacing w:after="200" w:before="0" w:line="336" w:lineRule="auto"/>
        <w:ind/>
        <w:rPr>
          <w:rFonts w:ascii="Gill Sans MT" w:hAnsi="Gill Sans MT" w:eastAsia="Gill Sans MT" w:cs="Gill Sans MT"/>
          <w:b/>
          <w:bCs/>
          <w:sz w:val="32"/>
          <w:szCs w:val="32"/>
          <w:highlight w:val="none"/>
        </w:rPr>
      </w:pPr>
      <w:r>
        <w:rPr>
          <w:rFonts w:ascii="Gill Sans MT" w:hAnsi="Gill Sans MT" w:eastAsia="Gill Sans MT" w:cs="Gill Sans MT"/>
          <w:b/>
          <w:bCs/>
          <w:sz w:val="32"/>
          <w:szCs w:val="32"/>
          <w:highlight w:val="none"/>
          <w:lang w:val="fr-BE"/>
        </w:rPr>
        <w:t xml:space="preserve">Premier récit (Genèse, ch. 1)</w:t>
      </w:r>
      <w:r>
        <w:rPr>
          <w:rFonts w:ascii="Gill Sans MT" w:hAnsi="Gill Sans MT" w:eastAsia="Gill Sans MT" w:cs="Gill Sans MT"/>
          <w:b/>
          <w:bCs/>
          <w:sz w:val="32"/>
          <w:szCs w:val="32"/>
          <w:highlight w:val="none"/>
          <w:lang w:val="fr-BE"/>
        </w:rPr>
      </w:r>
    </w:p>
    <w:p w14:paraId="22440AC8">
      <w:pPr>
        <w:suppressLineNumbers w:val="false"/>
        <w:pBdr/>
        <w:spacing w:after="200" w:before="0" w:line="336" w:lineRule="auto"/>
        <w:ind/>
        <w:rPr>
          <w:rFonts w:ascii="Gill Sans MT" w:hAnsi="Gill Sans MT" w:eastAsia="Gill Sans MT" w:cs="Gill Sans MT"/>
          <w:b/>
          <w:bCs/>
          <w:sz w:val="28"/>
          <w:szCs w:val="28"/>
          <w:highlight w:val="none"/>
        </w:rPr>
      </w:pPr>
      <w:r>
        <w:rPr>
          <w:rFonts w:ascii="Gill Sans MT" w:hAnsi="Gill Sans MT" w:eastAsia="Gill Sans MT" w:cs="Gill Sans MT"/>
          <w:b/>
          <w:bCs/>
          <w:sz w:val="28"/>
          <w:szCs w:val="28"/>
          <w:highlight w:val="none"/>
          <w:lang w:val="fr-BE" w:bidi="fr-BE"/>
        </w:rPr>
        <w:t xml:space="preserve">Le texte</w:t>
      </w:r>
      <w:r>
        <w:rPr>
          <w:rFonts w:ascii="Gill Sans MT" w:hAnsi="Gill Sans MT" w:eastAsia="Gill Sans MT" w:cs="Gill Sans MT"/>
          <w:b/>
          <w:bCs/>
          <w:sz w:val="28"/>
          <w:szCs w:val="28"/>
          <w:highlight w:val="none"/>
          <w:lang w:val="fr-BE" w:bidi="fr-BE"/>
        </w:rPr>
      </w:r>
      <w:r>
        <w:rPr>
          <w:rFonts w:ascii="Gill Sans MT" w:hAnsi="Gill Sans MT" w:eastAsia="Gill Sans MT" w:cs="Gill Sans MT"/>
          <w:b/>
          <w:bCs/>
          <w:sz w:val="28"/>
          <w:szCs w:val="28"/>
          <w:highlight w:val="none"/>
          <w:lang w:val="fr-BE"/>
        </w:rPr>
      </w:r>
    </w:p>
    <w:p w14:paraId="39E1B140">
      <w:pPr>
        <w:suppressLineNumbers w:val="false"/>
        <w:pBdr/>
        <w:spacing w:after="200" w:before="0" w:line="336" w:lineRule="auto"/>
        <w:ind w:right="0" w:firstLine="0" w:left="567"/>
        <w:rPr>
          <w:rFonts w:ascii="Gill Sans MT" w:hAnsi="Gill Sans MT" w:cs="Gill Sans MT"/>
          <w:sz w:val="26"/>
          <w:szCs w:val="26"/>
          <w:highlight w:val="none"/>
        </w:rPr>
      </w:pPr>
      <w:r>
        <w:rPr>
          <w:rFonts w:ascii="Gill Sans MT" w:hAnsi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  <w:lang w:val="fr-BE"/>
        </w:rPr>
        <w:t xml:space="preserve">26 </w:t>
      </w:r>
      <w:r>
        <w:rPr>
          <w:rFonts w:ascii="Gill Sans MT" w:hAnsi="Gill Sans MT" w:cs="Gill Sans MT"/>
          <w:sz w:val="26"/>
          <w:szCs w:val="26"/>
        </w:rPr>
        <w:t xml:space="preserve">Dieu dit: "Faisons l'homme à notre image, à notre ressemblance, et qu'il domine sur les poissons de la mer, sur les oiseaux du ciel, sur le bétail; enfin sur toute la terre, et sur tous les êtres qui s'y meuvent." 27 Dieu créa l'homme à son image; c'est à l</w:t>
      </w:r>
      <w:r>
        <w:rPr>
          <w:rFonts w:ascii="Gill Sans MT" w:hAnsi="Gill Sans MT" w:cs="Gill Sans MT"/>
          <w:sz w:val="26"/>
          <w:szCs w:val="26"/>
        </w:rPr>
        <w:t xml:space="preserve">'image de Dieu qu'il le créa. Mâle et femelle furent créés à la fois. 28 Dieu les bénit en leur disant "Croissez et multipliez! Remplissez la terre et soumettez-la! Commandez aux poissons de la mer, aux oiseaux du ciel, à tous les animaux qui se meuvent sur</w:t>
      </w:r>
      <w:r>
        <w:rPr>
          <w:rFonts w:ascii="Gill Sans MT" w:hAnsi="Gill Sans MT" w:cs="Gill Sans MT"/>
          <w:sz w:val="26"/>
          <w:szCs w:val="26"/>
        </w:rPr>
        <w:t xml:space="preserve"> la terre!" 29 Dieu ajouta: "Or, je vous accorde tout herbage portant graine, sur toute la face de la terre, et tout arbre portant des fruits qui deviendront arbres par le développement du germe. Ils serviront à votre nourriture.</w:t>
      </w:r>
      <w:r>
        <w:rPr>
          <w:rFonts w:ascii="Gill Sans MT" w:hAnsi="Gill Sans MT" w:cs="Gill Sans MT"/>
          <w:sz w:val="26"/>
          <w:szCs w:val="26"/>
        </w:rPr>
      </w:r>
    </w:p>
    <w:p w14:paraId="3014C108">
      <w:pPr>
        <w:suppressLineNumbers w:val="false"/>
        <w:pBdr/>
        <w:spacing w:after="200" w:before="0" w:line="336" w:lineRule="auto"/>
        <w:ind w:right="0" w:firstLine="0" w:left="0"/>
        <w:rPr>
          <w:rFonts w:ascii="Gill Sans MT" w:hAnsi="Gill Sans MT" w:cs="Gill Sans MT"/>
          <w:b/>
          <w:bCs/>
          <w:sz w:val="28"/>
          <w:szCs w:val="28"/>
          <w:highlight w:val="none"/>
        </w:rPr>
      </w:pPr>
      <w:r>
        <w:rPr>
          <w:rFonts w:ascii="Gill Sans MT" w:hAnsi="Gill Sans MT" w:cs="Gill Sans MT"/>
          <w:b/>
          <w:bCs/>
          <w:sz w:val="28"/>
          <w:szCs w:val="28"/>
          <w:highlight w:val="none"/>
          <w:lang w:val="fr-BE"/>
        </w:rPr>
        <w:t xml:space="preserve">Le commentaire de Rachi du verset 27</w:t>
      </w:r>
      <w:r>
        <w:rPr>
          <w:rFonts w:ascii="Gill Sans MT" w:hAnsi="Gill Sans MT" w:cs="Gill Sans MT"/>
          <w:b/>
          <w:bCs/>
          <w:sz w:val="28"/>
          <w:szCs w:val="28"/>
        </w:rPr>
      </w:r>
    </w:p>
    <w:p w14:paraId="4352CCA9">
      <w:pPr>
        <w:suppressLineNumbers w:val="false"/>
        <w:pBdr/>
        <w:spacing w:after="200" w:before="0" w:line="336" w:lineRule="auto"/>
        <w:ind/>
        <w:rPr>
          <w:rFonts w:ascii="Gill Sans MT" w:hAnsi="Gill Sans MT" w:eastAsia="Gill Sans MT" w:cs="Gill Sans MT"/>
          <w:sz w:val="26"/>
          <w:szCs w:val="26"/>
          <w:highlight w:val="none"/>
        </w:rPr>
      </w:pP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  <w:t xml:space="preserve">Rachi est un rabbin du 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  <w:t xml:space="preserve">11ème siècle qui a commenté toute la Torah (les cinq premiers livres de la Bible)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  <w:t xml:space="preserve">. Il a vécu à Troyes, en France.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</w:r>
    </w:p>
    <w:p w14:paraId="6E7D2E00">
      <w:pPr>
        <w:suppressLineNumbers w:val="false"/>
        <w:pBdr/>
        <w:spacing w:after="200" w:before="0" w:line="336" w:lineRule="auto"/>
        <w:ind w:right="0" w:firstLine="0" w:left="567"/>
        <w:rPr>
          <w:sz w:val="26"/>
          <w:szCs w:val="26"/>
        </w:rPr>
      </w:pPr>
      <w:r>
        <w:rPr>
          <w:rFonts w:ascii="Gill Sans MT" w:hAnsi="Gill Sans MT" w:cs="Gill Sans MT"/>
          <w:b/>
          <w:bCs/>
          <w:sz w:val="26"/>
          <w:szCs w:val="26"/>
          <w:highlight w:val="none"/>
          <w:lang w:val="fr-BE"/>
        </w:rPr>
        <w:t xml:space="preserve">Eloqim créa l’homme à son image</w:t>
      </w:r>
      <w:r>
        <w:rPr>
          <w:rFonts w:ascii="Gill Sans MT" w:hAnsi="Gill Sans MT" w:cs="Gill Sans MT"/>
          <w:sz w:val="26"/>
          <w:szCs w:val="26"/>
          <w:highlight w:val="none"/>
          <w:lang w:val="fr-BE"/>
        </w:rPr>
        <w:t xml:space="preserve"> Selon le modèle fait pour lui. Car tout a été créé par la parole de Dieu, tandis que l’homme a été créé, si l’on peut dire, par Ses mains, ainsi qu’il est écrit : « Tu as posé ta main sur moi » (Tehilim 139, 5). Il a été fait </w:t>
      </w:r>
      <w:r>
        <w:rPr>
          <w:rFonts w:ascii="Gill Sans MT" w:hAnsi="Gill Sans MT" w:cs="Gill Sans MT"/>
          <w:sz w:val="26"/>
          <w:szCs w:val="26"/>
          <w:highlight w:val="none"/>
          <w:lang w:val="fr-BE"/>
        </w:rPr>
        <w:t xml:space="preserve">au moyen d’un sceau, comme une monnaie qui est frappée d’une marque, appelée en français : « coin ». C’est ainsi qu’il est écrit : « Elle se transforme comme l’argile sous le sceau » (Iyov 38, 14).</w:t>
      </w:r>
      <w:r>
        <w:rPr>
          <w:sz w:val="26"/>
          <w:szCs w:val="26"/>
        </w:rPr>
      </w:r>
      <w:r>
        <w:rPr>
          <w:rFonts w:ascii="Gill Sans MT" w:hAnsi="Gill Sans MT" w:cs="Gill Sans MT"/>
          <w:sz w:val="26"/>
          <w:szCs w:val="26"/>
          <w:highlight w:val="none"/>
          <w:lang w:val="fr-BE"/>
        </w:rPr>
      </w:r>
    </w:p>
    <w:p w14:paraId="7A5DE272">
      <w:pPr>
        <w:suppressLineNumbers w:val="false"/>
        <w:pBdr/>
        <w:spacing w:after="200" w:before="0" w:line="336" w:lineRule="auto"/>
        <w:ind w:right="0" w:firstLine="0" w:left="567"/>
        <w:rPr>
          <w:sz w:val="26"/>
          <w:szCs w:val="26"/>
        </w:rPr>
      </w:pPr>
      <w:r>
        <w:rPr>
          <w:rFonts w:ascii="Gill Sans MT" w:hAnsi="Gill Sans MT" w:cs="Gill Sans MT"/>
          <w:b/>
          <w:bCs/>
          <w:sz w:val="26"/>
          <w:szCs w:val="26"/>
          <w:highlight w:val="none"/>
          <w:lang w:val="fr-BE"/>
        </w:rPr>
        <w:t xml:space="preserve">C’est à l’image de Eloqim qu’Il le créa</w:t>
      </w:r>
      <w:r>
        <w:rPr>
          <w:rFonts w:ascii="Gill Sans MT" w:hAnsi="Gill Sans MT" w:cs="Gill Sans MT"/>
          <w:sz w:val="26"/>
          <w:szCs w:val="26"/>
          <w:highlight w:val="none"/>
          <w:lang w:val="fr-BE"/>
        </w:rPr>
        <w:t xml:space="preserve"> C’est pour t’expliquer que l’image destinée à la création de l’homme reproduit le modèle de son Créateur.</w:t>
      </w:r>
      <w:r>
        <w:rPr>
          <w:sz w:val="26"/>
          <w:szCs w:val="26"/>
        </w:rPr>
      </w:r>
      <w:r>
        <w:rPr>
          <w:rFonts w:ascii="Gill Sans MT" w:hAnsi="Gill Sans MT" w:cs="Gill Sans MT"/>
          <w:sz w:val="26"/>
          <w:szCs w:val="26"/>
          <w:highlight w:val="none"/>
          <w:lang w:val="fr-BE"/>
        </w:rPr>
      </w:r>
    </w:p>
    <w:p w14:paraId="279ED36B">
      <w:pPr>
        <w:suppressLineNumbers w:val="false"/>
        <w:pBdr/>
        <w:spacing w:after="200" w:before="0" w:line="336" w:lineRule="auto"/>
        <w:ind w:right="0" w:firstLine="0" w:left="567"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cs="Gill Sans MT"/>
          <w:b/>
          <w:bCs/>
          <w:sz w:val="26"/>
          <w:szCs w:val="26"/>
          <w:highlight w:val="none"/>
          <w:lang w:val="fr-BE"/>
        </w:rPr>
        <w:t xml:space="preserve">Mâle et femelle Il les créa</w:t>
      </w:r>
      <w:r>
        <w:rPr>
          <w:rFonts w:ascii="Gill Sans MT" w:hAnsi="Gill Sans MT" w:cs="Gill Sans MT"/>
          <w:sz w:val="26"/>
          <w:szCs w:val="26"/>
          <w:highlight w:val="none"/>
          <w:lang w:val="fr-BE"/>
        </w:rPr>
        <w:t xml:space="preserve"> Alors qu’il est écrit plus loin : « Il prit un de ses côtés... » (infra 2, 21). Voici ce qu’enseigne le midrach (Beréchith raba 8, 1, ‘Erouvin 18a) : Il a commencé par le créer avec deux visages, puis Il l’a divisé en deux. Quant</w:t>
      </w:r>
      <w:r>
        <w:rPr>
          <w:rFonts w:ascii="Gill Sans MT" w:hAnsi="Gill Sans MT" w:cs="Gill Sans MT"/>
          <w:sz w:val="26"/>
          <w:szCs w:val="26"/>
          <w:highlight w:val="none"/>
          <w:lang w:val="fr-BE"/>
        </w:rPr>
        <w:t xml:space="preserve"> au sens littéral, il nous apprend qu’ils ont été créés tous les deux le sixième jour, sans préciser la manière dont ils ont été créés, sur laquelle on reviendra plus loin.</w:t>
      </w:r>
      <w:r>
        <w:rPr>
          <w:rFonts w:ascii="Gill Sans MT" w:hAnsi="Gill Sans MT" w:cs="Gill Sans MT"/>
          <w:sz w:val="26"/>
          <w:szCs w:val="26"/>
          <w:highlight w:val="none"/>
          <w:lang w:val="fr-BE"/>
        </w:rPr>
      </w:r>
      <w:r>
        <w:rPr>
          <w:rFonts w:ascii="Gill Sans MT" w:hAnsi="Gill Sans MT" w:cs="Gill Sans MT"/>
          <w:sz w:val="26"/>
          <w:szCs w:val="26"/>
          <w:highlight w:val="none"/>
          <w:lang w:val="fr-BE"/>
        </w:rPr>
      </w:r>
    </w:p>
    <w:p w14:paraId="170D1B0D">
      <w:pPr>
        <w:suppressLineNumbers w:val="false"/>
        <w:pBdr/>
        <w:spacing w:after="200" w:before="0" w:line="336" w:lineRule="auto"/>
        <w:ind/>
        <w:rPr>
          <w:rFonts w:ascii="Gill Sans MT" w:hAnsi="Gill Sans MT" w:eastAsia="Gill Sans MT" w:cs="Gill Sans MT"/>
          <w:b/>
          <w:bCs/>
          <w:sz w:val="32"/>
          <w:szCs w:val="32"/>
          <w:highlight w:val="none"/>
        </w:rPr>
      </w:pPr>
      <w:r>
        <w:rPr>
          <w:rFonts w:ascii="Gill Sans MT" w:hAnsi="Gill Sans MT" w:eastAsia="Gill Sans MT" w:cs="Gill Sans MT"/>
          <w:b/>
          <w:bCs/>
          <w:sz w:val="32"/>
          <w:szCs w:val="32"/>
          <w:highlight w:val="none"/>
          <w:lang w:val="fr-BE"/>
        </w:rPr>
        <w:t xml:space="preserve">Deuxième récit (Genèse, ch. 2)</w:t>
      </w:r>
      <w:r>
        <w:rPr>
          <w:rFonts w:ascii="Gill Sans MT" w:hAnsi="Gill Sans MT" w:eastAsia="Gill Sans MT" w:cs="Gill Sans MT"/>
          <w:b/>
          <w:bCs/>
          <w:sz w:val="32"/>
          <w:szCs w:val="32"/>
          <w:highlight w:val="none"/>
          <w:lang w:val="fr-BE"/>
        </w:rPr>
      </w:r>
      <w:r>
        <w:rPr>
          <w:rFonts w:ascii="Gill Sans MT" w:hAnsi="Gill Sans MT" w:cs="Gill Sans MT"/>
          <w:b/>
          <w:bCs/>
          <w:sz w:val="32"/>
          <w:szCs w:val="32"/>
        </w:rPr>
      </w:r>
    </w:p>
    <w:p w14:paraId="4D9E3965">
      <w:pPr>
        <w:suppressLineNumbers w:val="false"/>
        <w:pBdr/>
        <w:spacing w:after="200" w:before="0" w:line="336" w:lineRule="auto"/>
        <w:ind/>
        <w:rPr>
          <w:rFonts w:ascii="Gill Sans MT" w:hAnsi="Gill Sans MT" w:eastAsia="Gill Sans MT" w:cs="Gill Sans MT"/>
          <w:b/>
          <w:bCs/>
          <w:sz w:val="28"/>
          <w:szCs w:val="28"/>
          <w:highlight w:val="none"/>
        </w:rPr>
      </w:pPr>
      <w:r>
        <w:rPr>
          <w:rFonts w:ascii="Gill Sans MT" w:hAnsi="Gill Sans MT" w:eastAsia="Gill Sans MT" w:cs="Gill Sans MT"/>
          <w:b/>
          <w:bCs/>
          <w:sz w:val="28"/>
          <w:szCs w:val="28"/>
          <w:highlight w:val="none"/>
          <w:lang w:val="fr-BE"/>
        </w:rPr>
      </w:r>
      <w:r>
        <w:rPr>
          <w:rFonts w:ascii="Gill Sans MT" w:hAnsi="Gill Sans MT" w:eastAsia="Gill Sans MT" w:cs="Gill Sans MT"/>
          <w:b/>
          <w:bCs/>
          <w:sz w:val="28"/>
          <w:szCs w:val="28"/>
          <w:highlight w:val="none"/>
          <w:lang w:val="fr-BE"/>
        </w:rPr>
      </w:r>
      <w:r>
        <w:rPr>
          <w:rFonts w:ascii="Gill Sans MT" w:hAnsi="Gill Sans MT" w:eastAsia="Gill Sans MT" w:cs="Gill Sans MT"/>
          <w:b/>
          <w:bCs/>
          <w:sz w:val="28"/>
          <w:szCs w:val="28"/>
          <w:highlight w:val="none"/>
          <w:lang w:val="fr-BE"/>
        </w:rPr>
      </w:r>
    </w:p>
    <w:p w14:paraId="11357C7F">
      <w:pPr>
        <w:suppressLineNumbers w:val="false"/>
        <w:pBdr/>
        <w:spacing w:after="200" w:before="0" w:line="336" w:lineRule="auto"/>
        <w:ind/>
        <w:rPr>
          <w:rFonts w:ascii="Gill Sans MT" w:hAnsi="Gill Sans MT" w:eastAsia="Gill Sans MT" w:cs="Gill Sans MT"/>
          <w:b/>
          <w:bCs/>
          <w:sz w:val="28"/>
          <w:szCs w:val="28"/>
          <w:highlight w:val="none"/>
          <w:lang w:val="fr-BE"/>
        </w:rPr>
      </w:pPr>
      <w:r>
        <w:rPr>
          <w:rFonts w:ascii="Gill Sans MT" w:hAnsi="Gill Sans MT" w:eastAsia="Gill Sans MT" w:cs="Gill Sans MT"/>
          <w:b/>
          <w:bCs/>
          <w:sz w:val="28"/>
          <w:szCs w:val="28"/>
          <w:highlight w:val="none"/>
          <w:lang w:val="fr-BE"/>
        </w:rPr>
        <w:t xml:space="preserve">Le texte :</w:t>
      </w:r>
      <w:r>
        <w:rPr>
          <w:rFonts w:ascii="Gill Sans MT" w:hAnsi="Gill Sans MT" w:cs="Gill Sans MT"/>
          <w:b/>
          <w:bCs/>
          <w:sz w:val="28"/>
          <w:szCs w:val="28"/>
        </w:rPr>
      </w:r>
    </w:p>
    <w:p w14:paraId="1A2EEB65">
      <w:pPr>
        <w:suppressLineNumbers w:val="false"/>
        <w:pBdr/>
        <w:spacing w:after="200" w:before="0" w:line="336" w:lineRule="auto"/>
        <w:ind w:right="0" w:firstLine="0" w:left="567"/>
        <w:rPr>
          <w:rFonts w:ascii="Gill Sans MT" w:hAnsi="Gill Sans MT" w:eastAsia="Gill Sans MT" w:cs="Gill Sans MT"/>
          <w:sz w:val="26"/>
          <w:szCs w:val="26"/>
          <w:highlight w:val="none"/>
        </w:rPr>
      </w:pP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  <w:t xml:space="preserve">1 Ainsi furent terminés les cieux et la terre, avec tout ce qu'ils renferment. 2 Dieu mit fin, le septième jour, à l’œuvre faite par lui; et il se reposa, le septième jour, de toute l’œuvre qu'il avait faite. 3 Dieu bénit le septième jour et le proclama sai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  <w:t xml:space="preserve">nt, parce qu'en ce jour il se reposa de l’œuvre entière qu'il avait produite et organisée. 4 Telles sont les origines du ciel et de la terre, lorsqu'ils furent créés; à l'époque où l'Éternel-Dieu fit une terre et un ciel. 5 Or, aucun produit des champs ne p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  <w:t xml:space="preserve">araissait encore sur la terre, et aucune herbe des champs ne poussait encore; car l'Éternel-Dieu n'avait pas fait pleuvoir sur la terre, et d'homme, il n'y en avait point pour cultiver la terre. 6 Mais une exhalaison s'élevait de la terre et humectait toute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  <w:t xml:space="preserve"> la surface du sol. </w:t>
      </w:r>
      <w:r>
        <w:rPr>
          <w:rFonts w:ascii="Gill Sans MT" w:hAnsi="Gill Sans MT" w:eastAsia="Gill Sans MT" w:cs="Gill Sans MT"/>
          <w:b/>
          <w:bCs/>
          <w:sz w:val="26"/>
          <w:szCs w:val="26"/>
          <w:highlight w:val="none"/>
          <w:lang w:val="fr-BE"/>
        </w:rPr>
        <w:t xml:space="preserve">7 L'Éternel-Dieu façonna l'homme, - poussière détachée du sol, - fit pénétrer dans ses narines un souffle de vie, et l'homme devint un être vivant. 8 L'Éternel-Dieu planta un jardin en Éden, vers l'orient, et y plaça l'homme qu'il avait </w:t>
      </w:r>
      <w:r>
        <w:rPr>
          <w:rFonts w:ascii="Gill Sans MT" w:hAnsi="Gill Sans MT" w:eastAsia="Gill Sans MT" w:cs="Gill Sans MT"/>
          <w:b/>
          <w:bCs/>
          <w:sz w:val="26"/>
          <w:szCs w:val="26"/>
          <w:highlight w:val="none"/>
          <w:lang w:val="fr-BE"/>
        </w:rPr>
        <w:t xml:space="preserve">façonné. 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  <w:t xml:space="preserve">9 L'Éternel-Dieu fit surgir du sol toute espèce d'arbres, beaux à voir et propres à la nourriture; et l'arbre de vie au milieu du jardin, avec l'arbre de la science du bien et du mal. 10 Un fleuve sortait d'Éden pour arroser le jardin; de là il se 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  <w:t xml:space="preserve">divisait et formait quatre bras. 11 Le nom du premier: Pichon; c’est celui qui coule tout autour du pays de Havila, où se trouve l’or. 12 L’or de ce pays-là est bon; là aussi le bdellium et la pierre de chôham. 13 Le nom du deuxième fleuve: Ghihôn; c’est lu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  <w:t xml:space="preserve">i qui coule tout autour du pays de Kouch. 14 Le nom du troisième fleuve: Hiddékel; c’est celui qui coule à l’orient d’Assur; et le quatrième fleuve était l’Euphrate. 15 L’Éternel-Dieu prit donc l’homme et l’établit dans le jardin d’Eden pour le cultiver et 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  <w:t xml:space="preserve">le soigner. 16 L’Éternel-Dieu donna un ordre à l’homme, en disant: "Tous les arbres du jardin, tu peux t’en nourrir; 17 mais l’arbre de la science du bien et du mal, tu n’en mangeras point: car du jour où tu en mangeras, tu dois mourir!"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</w:r>
      <w:r>
        <w:rPr>
          <w:rFonts w:ascii="Gill Sans MT" w:hAnsi="Gill Sans MT" w:cs="Gill Sans MT"/>
          <w:sz w:val="26"/>
          <w:szCs w:val="26"/>
        </w:rPr>
      </w:r>
    </w:p>
    <w:p w14:paraId="21E2BEB9">
      <w:pPr>
        <w:suppressLineNumbers w:val="false"/>
        <w:pBdr/>
        <w:shd w:val="nil"/>
        <w:spacing/>
        <w:ind/>
        <w:rPr>
          <w:rFonts w:ascii="Gill Sans MT" w:hAnsi="Gill Sans MT" w:eastAsia="Gill Sans MT" w:cs="Gill Sans MT"/>
          <w:b/>
          <w:bCs/>
          <w:sz w:val="28"/>
          <w:szCs w:val="28"/>
          <w:highlight w:val="none"/>
        </w:rPr>
      </w:pPr>
      <w:r>
        <w:rPr>
          <w:rFonts w:ascii="Gill Sans MT" w:hAnsi="Gill Sans MT" w:eastAsia="Gill Sans MT" w:cs="Gill Sans MT"/>
          <w:b/>
          <w:bCs/>
          <w:sz w:val="28"/>
          <w:szCs w:val="28"/>
          <w:highlight w:val="none"/>
          <w:lang w:val="fr-BE"/>
        </w:rPr>
        <w:br w:type="page" w:clear="all"/>
      </w:r>
      <w:r>
        <w:rPr>
          <w:rFonts w:ascii="Gill Sans MT" w:hAnsi="Gill Sans MT" w:eastAsia="Gill Sans MT" w:cs="Gill Sans MT"/>
          <w:b/>
          <w:bCs/>
          <w:sz w:val="28"/>
          <w:szCs w:val="28"/>
          <w:highlight w:val="none"/>
          <w:lang w:val="fr-BE"/>
        </w:rPr>
      </w:r>
      <w:r>
        <w:rPr>
          <w:rFonts w:ascii="Gill Sans MT" w:hAnsi="Gill Sans MT" w:eastAsia="Gill Sans MT" w:cs="Gill Sans MT"/>
          <w:b/>
          <w:bCs/>
          <w:sz w:val="28"/>
          <w:szCs w:val="28"/>
          <w:highlight w:val="none"/>
          <w:lang w:val="fr-BE"/>
        </w:rPr>
      </w:r>
    </w:p>
    <w:p w14:paraId="1D9B1A92">
      <w:pPr>
        <w:suppressLineNumbers w:val="false"/>
        <w:pBdr/>
        <w:spacing w:after="200" w:before="0" w:line="336" w:lineRule="auto"/>
        <w:ind/>
        <w:rPr>
          <w:rFonts w:ascii="Gill Sans MT" w:hAnsi="Gill Sans MT" w:eastAsia="Gill Sans MT" w:cs="Gill Sans MT"/>
          <w:b/>
          <w:bCs/>
          <w:sz w:val="28"/>
          <w:szCs w:val="28"/>
          <w:highlight w:val="none"/>
          <w:lang w:val="fr-BE"/>
        </w:rPr>
      </w:pPr>
      <w:r>
        <w:rPr>
          <w:rFonts w:ascii="Gill Sans MT" w:hAnsi="Gill Sans MT" w:eastAsia="Gill Sans MT" w:cs="Gill Sans MT"/>
          <w:b/>
          <w:bCs/>
          <w:sz w:val="28"/>
          <w:szCs w:val="28"/>
          <w:highlight w:val="none"/>
          <w:lang w:val="fr-BE"/>
        </w:rPr>
        <w:t xml:space="preserve">Commentaire de Rachi du verset 7 (extraits)</w:t>
      </w:r>
      <w:r>
        <w:rPr>
          <w:rFonts w:ascii="Gill Sans MT" w:hAnsi="Gill Sans MT" w:eastAsia="Gill Sans MT" w:cs="Gill Sans MT"/>
          <w:b/>
          <w:bCs/>
          <w:sz w:val="28"/>
          <w:szCs w:val="28"/>
          <w:highlight w:val="none"/>
          <w:lang w:val="fr-BE"/>
        </w:rPr>
      </w:r>
    </w:p>
    <w:p w14:paraId="498ABD4B">
      <w:pPr>
        <w:suppressLineNumbers w:val="false"/>
        <w:pBdr/>
        <w:spacing w:after="200" w:before="0" w:line="336" w:lineRule="auto"/>
        <w:ind w:right="0" w:firstLine="0" w:left="3118"/>
        <w:rPr>
          <w:rFonts w:ascii="Gill Sans MT" w:hAnsi="Gill Sans MT" w:eastAsia="Gill Sans MT" w:cs="Gill Sans MT"/>
          <w:b w:val="0"/>
          <w:bCs w:val="0"/>
          <w:sz w:val="28"/>
          <w:szCs w:val="28"/>
          <w:highlight w:val="none"/>
        </w:rPr>
      </w:pPr>
      <w:r>
        <w:rPr>
          <w:rFonts w:ascii="Gill Sans MT" w:hAnsi="Gill Sans MT" w:eastAsia="Gill Sans MT" w:cs="Gill Sans MT"/>
          <w:b w:val="0"/>
          <w:bCs w:val="0"/>
          <w:sz w:val="28"/>
          <w:szCs w:val="28"/>
          <w:highlight w:val="none"/>
          <w:lang w:val="fr-BE" w:bidi="fr-BE"/>
        </w:rPr>
      </w:r>
      <w:r>
        <w:rPr>
          <w:rFonts w:ascii="Gill Sans MT" w:hAnsi="Gill Sans MT" w:eastAsia="Gill Sans MT" w:cs="Gill Sans MT"/>
          <w:b w:val="0"/>
          <w:bCs w:val="0"/>
          <w:sz w:val="28"/>
          <w:szCs w:val="28"/>
          <w:highlight w:val="none"/>
          <w:lang w:val="fr-BE" w:bidi="fr-BE"/>
        </w:rPr>
        <w:t xml:space="preserve">ז וַיִּיצֶר יְהוָה אֱלֹהִים אֶת-הָאָדָם, עָפָר מִן-הָאֲדָמָה, וַיִּפַּח בְּאַפָּיו, נִשְׁמַת חַיִּים; וַיְהִי הָאָדָם לְנֶפֶשׁ חַיָּה.</w:t>
      </w:r>
      <w:r>
        <w:rPr>
          <w:rFonts w:ascii="Gill Sans MT" w:hAnsi="Gill Sans MT" w:eastAsia="Gill Sans MT" w:cs="Gill Sans MT"/>
          <w:b w:val="0"/>
          <w:bCs w:val="0"/>
          <w:sz w:val="28"/>
          <w:szCs w:val="28"/>
          <w:highlight w:val="none"/>
          <w:lang w:val="fr-BE" w:bidi="fr-BE"/>
        </w:rPr>
      </w:r>
      <w:r>
        <w:rPr>
          <w:rFonts w:ascii="Gill Sans MT" w:hAnsi="Gill Sans MT" w:eastAsia="Gill Sans MT" w:cs="Gill Sans MT"/>
          <w:b w:val="0"/>
          <w:bCs w:val="0"/>
          <w:sz w:val="28"/>
          <w:szCs w:val="28"/>
          <w:highlight w:val="none"/>
          <w:lang w:val="fr-BE"/>
        </w:rPr>
      </w:r>
    </w:p>
    <w:p w14:paraId="17871248">
      <w:pPr>
        <w:suppressLineNumbers w:val="false"/>
        <w:pBdr/>
        <w:spacing w:after="200" w:before="0" w:line="336" w:lineRule="auto"/>
        <w:ind w:right="0" w:firstLine="0" w:left="3118"/>
        <w:rPr>
          <w:rFonts w:ascii="Gill Sans MT" w:hAnsi="Gill Sans MT" w:eastAsia="Gill Sans MT" w:cs="Gill Sans MT"/>
          <w:sz w:val="26"/>
          <w:szCs w:val="26"/>
          <w:highlight w:val="none"/>
        </w:rPr>
      </w:pP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  <w:t xml:space="preserve">A comparer avec Genèse 7, 22 : nishepat-ruah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  <w:t xml:space="preserve"> נִשְׁמַת-רוּחַ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  <w:t xml:space="preserve"> 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</w:r>
    </w:p>
    <w:p w14:paraId="575CA1F4">
      <w:pPr>
        <w:suppressLineNumbers w:val="false"/>
        <w:pBdr/>
        <w:spacing w:after="200" w:before="0" w:line="336" w:lineRule="auto"/>
        <w:ind w:right="0" w:firstLine="0" w:left="567"/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</w:pP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</w:r>
    </w:p>
    <w:p w14:paraId="2C05362E">
      <w:pPr>
        <w:suppressLineNumbers w:val="false"/>
        <w:pBdr/>
        <w:spacing w:after="200" w:before="0" w:line="336" w:lineRule="auto"/>
        <w:ind w:right="0" w:firstLine="0" w:left="567"/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</w:pPr>
      <w:r>
        <w:rPr>
          <w:rFonts w:ascii="Gill Sans MT" w:hAnsi="Gill Sans MT" w:eastAsia="Gill Sans MT" w:cs="Gill Sans MT"/>
          <w:b w:val="0"/>
          <w:bCs w:val="0"/>
          <w:sz w:val="26"/>
          <w:szCs w:val="26"/>
          <w:highlight w:val="none"/>
          <w:lang w:val="fr-BE"/>
        </w:rPr>
        <w:t xml:space="preserve">« </w:t>
      </w:r>
      <w:r>
        <w:rPr>
          <w:rFonts w:ascii="Gill Sans MT" w:hAnsi="Gill Sans MT" w:eastAsia="Gill Sans MT" w:cs="Gill Sans MT"/>
          <w:b/>
          <w:bCs/>
          <w:sz w:val="26"/>
          <w:szCs w:val="26"/>
          <w:highlight w:val="none"/>
          <w:lang w:val="fr-BE"/>
        </w:rPr>
        <w:t xml:space="preserve">I</w:t>
      </w:r>
      <w:r>
        <w:rPr>
          <w:rFonts w:ascii="Gill Sans MT" w:hAnsi="Gill Sans MT" w:eastAsia="Gill Sans MT" w:cs="Gill Sans MT"/>
          <w:b/>
          <w:bCs/>
          <w:sz w:val="26"/>
          <w:szCs w:val="26"/>
          <w:highlight w:val="none"/>
          <w:lang w:val="fr-BE"/>
        </w:rPr>
        <w:t xml:space="preserve">l façonna l’homme (wayyitsèr) 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  <w:t xml:space="preserve">Le mot wayyitsèr est écrit avec deux yod, car il y a eu deux façonnages : celui de l’homme dans ce monde-ci, et celui de l’homme dans le monde à venir (Beréchith raba 14, 5). Tandis que pour les animaux, qui ne sont pas justici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  <w:t xml:space="preserve">ables du tribunal divin, le même mot wayitsèr (verset 19) n’est écrit qu’avec un seul yod.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</w:r>
    </w:p>
    <w:p w14:paraId="3F7002B5">
      <w:pPr>
        <w:suppressLineNumbers w:val="false"/>
        <w:pBdr/>
        <w:spacing w:after="200" w:before="0" w:line="336" w:lineRule="auto"/>
        <w:ind w:right="0" w:firstLine="0" w:left="567"/>
        <w:rPr>
          <w:rFonts w:ascii="Gill Sans MT" w:hAnsi="Gill Sans MT" w:eastAsia="Gill Sans MT" w:cs="Gill Sans MT"/>
          <w:sz w:val="26"/>
          <w:szCs w:val="26"/>
          <w:highlight w:val="none"/>
        </w:rPr>
      </w:pPr>
      <w:r>
        <w:rPr>
          <w:rFonts w:ascii="Gill Sans MT" w:hAnsi="Gill Sans MT" w:eastAsia="Gill Sans MT" w:cs="Gill Sans MT"/>
          <w:sz w:val="26"/>
          <w:szCs w:val="26"/>
          <w:highlight w:val="none"/>
          <w:lang w:val="fr-BE" w:bidi="fr-BE"/>
        </w:rPr>
      </w:r>
      <w:r>
        <w:rPr>
          <w:rFonts w:ascii="Gill Sans MT" w:hAnsi="Gill Sans MT" w:eastAsia="Gill Sans MT" w:cs="Gill Sans MT"/>
          <w:b/>
          <w:bCs/>
          <w:sz w:val="26"/>
          <w:szCs w:val="26"/>
          <w:highlight w:val="none"/>
          <w:lang w:val="fr-BE" w:bidi="fr-BE"/>
        </w:rPr>
        <w:t xml:space="preserve">Poussière détachée du so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 w:bidi="fr-BE"/>
        </w:rPr>
        <w:t xml:space="preserve">l Dieu a amassé la poussière de toute la terre, des quatre points cardinaux, afin qu’elle accepte, où que l’homme vienne à mourir, de devenir sa tombe (Midrach tan‘houma Peqoudei 3). 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  <w:t xml:space="preserve">(...)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</w:r>
    </w:p>
    <w:p w14:paraId="31D9E50E">
      <w:pPr>
        <w:suppressLineNumbers w:val="false"/>
        <w:pBdr/>
        <w:spacing w:after="200" w:before="0" w:line="336" w:lineRule="auto"/>
        <w:ind w:right="0" w:firstLine="0" w:left="567"/>
        <w:rPr>
          <w:sz w:val="26"/>
          <w:szCs w:val="26"/>
        </w:rPr>
      </w:pPr>
      <w:r>
        <w:rPr>
          <w:rFonts w:ascii="Gill Sans MT" w:hAnsi="Gill Sans MT" w:eastAsia="Gill Sans MT" w:cs="Gill Sans MT"/>
          <w:b/>
          <w:bCs/>
          <w:sz w:val="26"/>
          <w:szCs w:val="26"/>
          <w:highlight w:val="none"/>
          <w:lang w:val="fr-BE" w:bidi="fr-BE"/>
        </w:rPr>
        <w:t xml:space="preserve">Il insuffla dans ses narines une âme de vie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 w:bidi="fr-BE"/>
        </w:rPr>
        <w:t xml:space="preserve"> Il l’a formé d’éléments d’ici-bas et d’éléments d’en haut : le corps d’en-bas, et l’âme d’en haut. (...)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 w:bidi="fr-BE"/>
        </w:rPr>
      </w:r>
    </w:p>
    <w:p w14:paraId="1DD8F4FB">
      <w:pPr>
        <w:suppressLineNumbers w:val="false"/>
        <w:pBdr/>
        <w:spacing w:after="200" w:before="0" w:line="336" w:lineRule="auto"/>
        <w:ind w:right="0" w:firstLine="0" w:left="567"/>
        <w:rPr>
          <w:rFonts w:ascii="Gill Sans MT" w:hAnsi="Gill Sans MT" w:eastAsia="Gill Sans MT" w:cs="Gill Sans MT"/>
          <w:sz w:val="26"/>
          <w:szCs w:val="26"/>
          <w:highlight w:val="none"/>
        </w:rPr>
      </w:pPr>
      <w:r>
        <w:rPr>
          <w:rFonts w:ascii="Gill Sans MT" w:hAnsi="Gill Sans MT" w:eastAsia="Gill Sans MT" w:cs="Gill Sans MT"/>
          <w:b/>
          <w:bCs/>
          <w:sz w:val="26"/>
          <w:szCs w:val="26"/>
          <w:highlight w:val="none"/>
          <w:lang w:val="fr-BE" w:bidi="fr-BE"/>
        </w:rPr>
        <w:t xml:space="preserve">Et l’homme fut une âme vivante 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 w:bidi="fr-BE"/>
        </w:rPr>
        <w:t xml:space="preserve">Les animaux et les bêtes sauvages sont également appelés « âmes vivantes ». Cependant, celle de l’homme est la plus vivante de toutes, car il s’y ajoute la connaissance et la parole.</w:t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 w:bidi="fr-BE"/>
        </w:rPr>
      </w: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</w:r>
    </w:p>
    <w:p w14:paraId="7BAAD202">
      <w:pPr>
        <w:suppressLineNumbers w:val="false"/>
        <w:pBdr/>
        <w:spacing w:after="200" w:before="0" w:line="336" w:lineRule="auto"/>
        <w:ind w:right="0" w:firstLine="0" w:left="567"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  <w:r>
        <w:rPr>
          <w:rFonts w:ascii="Gill Sans MT" w:hAnsi="Gill Sans MT" w:cs="Gill Sans MT"/>
          <w:sz w:val="26"/>
          <w:szCs w:val="26"/>
        </w:rPr>
      </w:r>
    </w:p>
    <w:p w14:paraId="2A185732">
      <w:pPr>
        <w:suppressLineNumbers w:val="false"/>
        <w:pBdr/>
        <w:spacing w:after="200" w:before="0" w:line="336" w:lineRule="auto"/>
        <w:ind w:right="0" w:firstLine="0" w:left="0"/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</w:pP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  <w:t xml:space="preserve">Les traductions sont tirées de la Bible du Rabbinat : une traduction juive du début du 20ème siècle. Avec en regard le commentaire de Rachi.</w:t>
      </w:r>
      <w:r>
        <w:rPr>
          <w:rFonts w:ascii="Gill Sans MT" w:hAnsi="Gill Sans MT" w:cs="Gill Sans MT"/>
          <w:sz w:val="26"/>
          <w:szCs w:val="26"/>
        </w:rPr>
      </w:r>
    </w:p>
    <w:p w14:paraId="5EC82EFF">
      <w:pPr>
        <w:suppressLineNumbers w:val="false"/>
        <w:pBdr/>
        <w:spacing w:after="200" w:before="0" w:line="336" w:lineRule="auto"/>
        <w:ind w:right="0" w:firstLine="0" w:left="0"/>
        <w:rPr>
          <w:rFonts w:ascii="Gill Sans MT" w:hAnsi="Gill Sans MT" w:cs="Gill Sans MT"/>
          <w:sz w:val="26"/>
          <w:szCs w:val="26"/>
        </w:rPr>
      </w:pPr>
      <w:r>
        <w:rPr>
          <w:rFonts w:ascii="Gill Sans MT" w:hAnsi="Gill Sans MT" w:eastAsia="Gill Sans MT" w:cs="Gill Sans MT"/>
          <w:sz w:val="26"/>
          <w:szCs w:val="26"/>
          <w:highlight w:val="none"/>
          <w:lang w:val="fr-BE"/>
        </w:rPr>
      </w:r>
      <w:hyperlink r:id="rId9" w:tooltip="https://www.sefarim.fr/" w:history="1">
        <w:r>
          <w:rPr>
            <w:rStyle w:val="187"/>
            <w:rFonts w:ascii="Gill Sans MT" w:hAnsi="Gill Sans MT" w:eastAsia="Gill Sans MT" w:cs="Gill Sans MT"/>
            <w:sz w:val="26"/>
            <w:szCs w:val="26"/>
            <w:highlight w:val="none"/>
            <w:lang w:val="fr-BE"/>
          </w:rPr>
        </w:r>
        <w:r>
          <w:rPr>
            <w:rStyle w:val="187"/>
            <w:rFonts w:ascii="Gill Sans MT" w:hAnsi="Gill Sans MT" w:eastAsia="Gill Sans MT" w:cs="Gill Sans MT"/>
            <w:sz w:val="26"/>
            <w:szCs w:val="26"/>
            <w:highlight w:val="none"/>
            <w:lang w:val="fr-BE"/>
          </w:rPr>
          <w:t xml:space="preserve">https://www.sefarim.fr/</w:t>
        </w:r>
        <w:r>
          <w:rPr>
            <w:rStyle w:val="187"/>
            <w:rFonts w:ascii="Gill Sans MT" w:hAnsi="Gill Sans MT" w:eastAsia="Gill Sans MT" w:cs="Gill Sans MT"/>
            <w:sz w:val="26"/>
            <w:szCs w:val="26"/>
            <w:highlight w:val="none"/>
            <w:lang w:val="fr-BE"/>
          </w:rPr>
        </w:r>
        <w:r>
          <w:rPr>
            <w:rStyle w:val="187"/>
          </w:rPr>
        </w:r>
      </w:hyperlink>
      <w:r/>
      <w:r/>
    </w:p>
    <w:sectPr>
      <w:footerReference w:type="default" r:id="rId8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F4E74F7">
    <w:pPr>
      <w:pStyle w:val="178"/>
      <w:pBdr/>
      <w:spacing/>
      <w:ind/>
      <w:jc w:val="right"/>
      <w:rPr/>
    </w:pPr>
    <w:r>
      <w:rPr>
        <w:rFonts w:ascii="Gill Sans MT" w:hAnsi="Gill Sans MT" w:eastAsia="Gill Sans MT" w:cs="Gill Sans MT"/>
        <w:lang w:val="fr-BE"/>
      </w:rPr>
      <w:t xml:space="preserve">Création de l’être humain selon la Bible et le commentaire de Rachi - </w:t>
    </w:r>
    <w:fldSimple w:instr="PAGE \* MERGEFORMAT">
      <w:r>
        <w:rPr>
          <w:rFonts w:ascii="Gill Sans MT" w:hAnsi="Gill Sans MT" w:eastAsia="Gill Sans MT" w:cs="Gill Sans MT"/>
        </w:rPr>
        <w:t xml:space="preserve">1</w:t>
      </w:r>
    </w:fldSimple>
    <w:r>
      <w:rPr>
        <w:rFonts w:ascii="Gill Sans MT" w:hAnsi="Gill Sans MT" w:eastAsia="Gill Sans MT" w:cs="Gill Sans MT"/>
      </w:rPr>
    </w:r>
    <w:r/>
    <w:r/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hyperlink" Target="https://www.sefarim.f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2026-04-20T10:36:58Z</dcterms:modified>
</cp:coreProperties>
</file>