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D340809">
      <w:pPr>
        <w:suppressLineNumbers w:val="false"/>
        <w:pBdr>
          <w:top w:val="none" w:color="000000" w:sz="4" w:space="0"/>
          <w:left w:val="none" w:color="000000" w:sz="4" w:space="0"/>
          <w:bottom w:val="none" w:color="000000" w:sz="4" w:space="0"/>
          <w:right w:val="none" w:color="000000" w:sz="4" w:space="0"/>
        </w:pBdr>
        <w:spacing w:after="200" w:before="0" w:line="336" w:lineRule="auto"/>
        <w:ind w:right="0" w:firstLine="0" w:left="0"/>
        <w:rPr>
          <w:rFonts w:ascii="Gill Sans MT" w:hAnsi="Gill Sans MT" w:cs="Gill Sans MT"/>
          <w:sz w:val="26"/>
          <w:szCs w:val="26"/>
        </w:rPr>
      </w:pPr>
      <w:r>
        <w:rPr>
          <w:rFonts w:ascii="Gill Sans MT" w:hAnsi="Gill Sans MT" w:eastAsia="Gill Sans MT" w:cs="Gill Sans MT"/>
          <w:b/>
          <w:color w:val="000000"/>
          <w:sz w:val="26"/>
          <w:szCs w:val="26"/>
        </w:rPr>
        <w:t xml:space="preserve">La gradualité dans la pastorale</w:t>
      </w:r>
      <w:r>
        <w:rPr>
          <w:rFonts w:ascii="Gill Sans MT" w:hAnsi="Gill Sans MT" w:eastAsia="Gill Sans MT" w:cs="Gill Sans MT"/>
          <w:sz w:val="26"/>
          <w:szCs w:val="26"/>
        </w:rPr>
      </w:r>
    </w:p>
    <w:p w14:paraId="3727512A">
      <w:pPr>
        <w:suppressLineNumbers w:val="false"/>
        <w:pBdr>
          <w:top w:val="none" w:color="000000" w:sz="4" w:space="0"/>
          <w:left w:val="none" w:color="000000" w:sz="4" w:space="0"/>
          <w:bottom w:val="none" w:color="000000" w:sz="4" w:space="0"/>
          <w:right w:val="none" w:color="000000" w:sz="4" w:space="0"/>
        </w:pBdr>
        <w:spacing w:after="200" w:before="0" w:line="336"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293. Les Pères se sont également penchés sur la situation particulière d’un mariage seulement civil ou même, toute proportion gardée, d’une pure cohabitation où « quand l’union atteint une stabilité consistante à travers un lien public, elle est caractéris</w:t>
      </w:r>
      <w:r>
        <w:rPr>
          <w:rFonts w:ascii="Gill Sans MT" w:hAnsi="Gill Sans MT" w:eastAsia="Gill Sans MT" w:cs="Gill Sans MT"/>
          <w:color w:val="000000"/>
          <w:sz w:val="26"/>
          <w:szCs w:val="26"/>
        </w:rPr>
        <w:t xml:space="preserve">ée par une affection profonde, confère des responsabilités à l’égard des enfants, donne la capacité de surmonter les épreuves et peut être considérée comme une occasion à accompagner dans le développement menant au sacrement du mariage ». </w:t>
      </w:r>
      <w:r>
        <w:rPr>
          <w:rFonts w:ascii="Gill Sans MT" w:hAnsi="Gill Sans MT" w:eastAsia="Gill Sans MT" w:cs="Gill Sans MT"/>
          <w:color w:val="000000"/>
          <w:sz w:val="26"/>
          <w:szCs w:val="26"/>
          <w:u w:val="single"/>
        </w:rPr>
        <w:t xml:space="preserve">D’autre part, il </w:t>
      </w:r>
      <w:r>
        <w:rPr>
          <w:rFonts w:ascii="Gill Sans MT" w:hAnsi="Gill Sans MT" w:eastAsia="Gill Sans MT" w:cs="Gill Sans MT"/>
          <w:color w:val="000000"/>
          <w:sz w:val="26"/>
          <w:szCs w:val="26"/>
          <w:u w:val="single"/>
        </w:rPr>
        <w:t xml:space="preserve">est préoccupant que de nombreux jeunes se méfient aujourd’hui du mariage et cohabitent en reportant indéfiniment l’engagement conjugal, tandis que d’autres mettent un terme à l’engagement pris et en instaurent immédiatement un nouveau. </w:t>
      </w:r>
      <w:r>
        <w:rPr>
          <w:rFonts w:ascii="Gill Sans MT" w:hAnsi="Gill Sans MT" w:eastAsia="Gill Sans MT" w:cs="Gill Sans MT"/>
          <w:color w:val="000000"/>
          <w:sz w:val="26"/>
          <w:szCs w:val="26"/>
          <w:u w:val="single"/>
        </w:rPr>
        <w:t xml:space="preserve">Ceux-là « qui font p</w:t>
      </w:r>
      <w:r>
        <w:rPr>
          <w:rFonts w:ascii="Gill Sans MT" w:hAnsi="Gill Sans MT" w:eastAsia="Gill Sans MT" w:cs="Gill Sans MT"/>
          <w:color w:val="000000"/>
          <w:sz w:val="26"/>
          <w:szCs w:val="26"/>
          <w:u w:val="single"/>
        </w:rPr>
        <w:t xml:space="preserve">artie de l’Église ont besoin d’une attention pastorale miséricordieuse et encourageante ».</w:t>
      </w:r>
      <w:r>
        <w:rPr>
          <w:rFonts w:ascii="Gill Sans MT" w:hAnsi="Gill Sans MT" w:eastAsia="Gill Sans MT" w:cs="Gill Sans MT"/>
          <w:color w:val="000000"/>
          <w:sz w:val="26"/>
          <w:szCs w:val="26"/>
        </w:rPr>
        <w:t xml:space="preserve"> En effet, non seulement la promotion du mariage chrétien revient aux Pasteurs, mais aussi « le discernement pastoral des situations de beaucoup de gens qui ne vivent</w:t>
      </w:r>
      <w:r>
        <w:rPr>
          <w:rFonts w:ascii="Gill Sans MT" w:hAnsi="Gill Sans MT" w:eastAsia="Gill Sans MT" w:cs="Gill Sans MT"/>
          <w:color w:val="000000"/>
          <w:sz w:val="26"/>
          <w:szCs w:val="26"/>
        </w:rPr>
        <w:t xml:space="preserve"> plus dans cette situation » pour « entrer en dialogue pastoral avec ces personnes afin de mettre en évidence les éléments de leur vie qui peuvent conduire à une plus grande ouverture à l’Évangile du mariage dans sa plénitude ». Dans le discernement pastor</w:t>
      </w:r>
      <w:r>
        <w:rPr>
          <w:rFonts w:ascii="Gill Sans MT" w:hAnsi="Gill Sans MT" w:eastAsia="Gill Sans MT" w:cs="Gill Sans MT"/>
          <w:color w:val="000000"/>
          <w:sz w:val="26"/>
          <w:szCs w:val="26"/>
        </w:rPr>
        <w:t xml:space="preserve">al, il convient d’identifier « les éléments qui peuvent favoriser </w:t>
      </w:r>
      <w:r>
        <w:rPr>
          <w:rFonts w:ascii="Gill Sans MT" w:hAnsi="Gill Sans MT" w:eastAsia="Gill Sans MT" w:cs="Gill Sans MT"/>
          <w:color w:val="000000"/>
          <w:sz w:val="26"/>
          <w:szCs w:val="26"/>
        </w:rPr>
        <w:t xml:space="preserve">l’évangélisation et la croissance humaine et spirituelle ».</w:t>
      </w:r>
      <w:r>
        <w:rPr>
          <w:rFonts w:ascii="Gill Sans MT" w:hAnsi="Gill Sans MT" w:eastAsia="Gill Sans MT" w:cs="Gill Sans MT"/>
          <w:sz w:val="26"/>
          <w:szCs w:val="26"/>
        </w:rPr>
      </w:r>
    </w:p>
    <w:p w14:paraId="768FF239">
      <w:pPr>
        <w:suppressLineNumbers w:val="false"/>
        <w:pBdr>
          <w:top w:val="none" w:color="000000" w:sz="4" w:space="0"/>
          <w:left w:val="none" w:color="000000" w:sz="4" w:space="0"/>
          <w:bottom w:val="none" w:color="000000" w:sz="4" w:space="0"/>
          <w:right w:val="none" w:color="000000" w:sz="4" w:space="0"/>
        </w:pBdr>
        <w:spacing w:after="200" w:before="0" w:line="336" w:lineRule="auto"/>
        <w:ind w:right="0" w:firstLine="0" w:left="0"/>
        <w:rPr>
          <w:rFonts w:ascii="Gill Sans MT" w:hAnsi="Gill Sans MT" w:cs="Gill Sans MT"/>
          <w:sz w:val="26"/>
          <w:szCs w:val="26"/>
          <w:u w:val="single"/>
        </w:rPr>
      </w:pPr>
      <w:r>
        <w:rPr>
          <w:rFonts w:ascii="Gill Sans MT" w:hAnsi="Gill Sans MT" w:eastAsia="Gill Sans MT" w:cs="Gill Sans MT"/>
          <w:color w:val="000000"/>
          <w:sz w:val="26"/>
          <w:szCs w:val="26"/>
        </w:rPr>
        <w:t xml:space="preserve">294. « Le choix du mariage civil ou, dans différents cas, de la simple vie en commun, n’est dans la plupart des cas pas motivé par des préjugés ou des résistances à l’égard de l’union sacramentelle, mais par des raisons culturelles ou contingentes ».</w:t>
      </w:r>
      <w:r>
        <w:rPr>
          <w:rFonts w:ascii="Gill Sans MT" w:hAnsi="Gill Sans MT" w:eastAsia="Gill Sans MT" w:cs="Gill Sans MT"/>
          <w:color w:val="000000"/>
          <w:sz w:val="26"/>
          <w:szCs w:val="26"/>
          <w:lang w:val="fr-BE"/>
        </w:rPr>
        <w:t xml:space="preserve"> </w:t>
      </w:r>
      <w:r>
        <w:rPr>
          <w:rFonts w:ascii="Gill Sans MT" w:hAnsi="Gill Sans MT" w:eastAsia="Gill Sans MT" w:cs="Gill Sans MT"/>
          <w:color w:val="000000"/>
          <w:sz w:val="26"/>
          <w:szCs w:val="26"/>
        </w:rPr>
        <w:t xml:space="preserve">Dans c</w:t>
      </w:r>
      <w:r>
        <w:rPr>
          <w:rFonts w:ascii="Gill Sans MT" w:hAnsi="Gill Sans MT" w:eastAsia="Gill Sans MT" w:cs="Gill Sans MT"/>
          <w:color w:val="000000"/>
          <w:sz w:val="26"/>
          <w:szCs w:val="26"/>
        </w:rPr>
        <w:t xml:space="preserve">es situations il sera possible de mettre en valeur ces signes d’amour qui, d’une manière et d’une autre, reflètent l’amour de Dieu. Nous savons que « le nombre de ceux qui, après avoir vécu longtemps ensemble, demandent la célébration du mariage à l’Église</w:t>
      </w:r>
      <w:r>
        <w:rPr>
          <w:rFonts w:ascii="Gill Sans MT" w:hAnsi="Gill Sans MT" w:eastAsia="Gill Sans MT" w:cs="Gill Sans MT"/>
          <w:color w:val="000000"/>
          <w:sz w:val="26"/>
          <w:szCs w:val="26"/>
        </w:rPr>
        <w:t xml:space="preserve">, connaît une augmentation constante. Le simple concubinage est souvent choisi à cause de la mentalité générale contraire aux institutions et aux engagements définitifs, mais aussi parce que les personnes attendent d’avoir une certaine sécurité économique </w:t>
      </w:r>
      <w:r>
        <w:rPr>
          <w:rFonts w:ascii="Gill Sans MT" w:hAnsi="Gill Sans MT" w:eastAsia="Gill Sans MT" w:cs="Gill Sans MT"/>
          <w:color w:val="000000"/>
          <w:sz w:val="26"/>
          <w:szCs w:val="26"/>
        </w:rPr>
        <w:t xml:space="preserve">(emploi et salaire fixe). Dans d’autres pays, enfin, les unions de fait sont très nombreuses, non seulement à cause du rejet des valeurs de la famille et du mariage, mais surtout parce que se marier est perçu comme un luxe, en raison des conditions sociale</w:t>
      </w:r>
      <w:r>
        <w:rPr>
          <w:rFonts w:ascii="Gill Sans MT" w:hAnsi="Gill Sans MT" w:eastAsia="Gill Sans MT" w:cs="Gill Sans MT"/>
          <w:color w:val="000000"/>
          <w:sz w:val="26"/>
          <w:szCs w:val="26"/>
        </w:rPr>
        <w:t xml:space="preserve">s, de sorte que la misère matérielle pousse à vivre des unions de fait ». </w:t>
      </w:r>
      <w:r>
        <w:rPr>
          <w:rFonts w:ascii="Gill Sans MT" w:hAnsi="Gill Sans MT" w:eastAsia="Gill Sans MT" w:cs="Gill Sans MT"/>
          <w:color w:val="000000"/>
          <w:sz w:val="26"/>
          <w:szCs w:val="26"/>
          <w:u w:val="single"/>
        </w:rPr>
        <w:t xml:space="preserve">Mais « toutes ces situations doivent être affrontées d’une manière constructive, en cherchant à les transformer en occasions de cheminement vers la plénitude du mariage et de la fami</w:t>
      </w:r>
      <w:r>
        <w:rPr>
          <w:rFonts w:ascii="Gill Sans MT" w:hAnsi="Gill Sans MT" w:eastAsia="Gill Sans MT" w:cs="Gill Sans MT"/>
          <w:color w:val="000000"/>
          <w:sz w:val="26"/>
          <w:szCs w:val="26"/>
          <w:u w:val="single"/>
        </w:rPr>
        <w:t xml:space="preserve">lle à la lumière de l’Évangile. Il s’agit de les accueillir et de les accompagner avec patience et délicatesse ». C’est ce qu’a fait Jésus avec la samaritaine (cf. </w:t>
      </w:r>
      <w:r>
        <w:rPr>
          <w:rFonts w:ascii="Gill Sans MT" w:hAnsi="Gill Sans MT" w:eastAsia="Gill Sans MT" w:cs="Gill Sans MT"/>
          <w:color w:val="000000"/>
          <w:sz w:val="26"/>
          <w:szCs w:val="26"/>
          <w:u w:val="single"/>
        </w:rPr>
        <w:footnoteReference w:id="2"/>
      </w:r>
      <w:r>
        <w:rPr>
          <w:rFonts w:ascii="Gill Sans MT" w:hAnsi="Gill Sans MT" w:eastAsia="Gill Sans MT" w:cs="Gill Sans MT"/>
          <w:i/>
          <w:color w:val="000000"/>
          <w:sz w:val="26"/>
          <w:szCs w:val="26"/>
          <w:u w:val="single"/>
        </w:rPr>
        <w:t xml:space="preserve">Jn</w:t>
      </w:r>
      <w:r>
        <w:rPr>
          <w:rFonts w:ascii="Gill Sans MT" w:hAnsi="Gill Sans MT" w:eastAsia="Gill Sans MT" w:cs="Gill Sans MT"/>
          <w:color w:val="000000"/>
          <w:sz w:val="26"/>
          <w:szCs w:val="26"/>
          <w:u w:val="single"/>
        </w:rPr>
        <w:t xml:space="preserve"> 4, 1-26) : il a adressé une parole à son désir d’un amour vrai, pour la libérer de tout ce qui obscurcissait sa vie et la conduire à la joie pleine de l’Évangile.</w:t>
      </w:r>
      <w:r>
        <w:rPr>
          <w:rFonts w:ascii="Gill Sans MT" w:hAnsi="Gill Sans MT" w:eastAsia="Gill Sans MT" w:cs="Gill Sans MT"/>
          <w:sz w:val="26"/>
          <w:szCs w:val="26"/>
          <w:u w:val="single"/>
        </w:rPr>
      </w:r>
    </w:p>
    <w:p w14:paraId="409C6643">
      <w:pPr>
        <w:suppressLineNumbers w:val="false"/>
        <w:pBdr>
          <w:top w:val="none" w:color="000000" w:sz="4" w:space="0"/>
          <w:left w:val="none" w:color="000000" w:sz="4" w:space="0"/>
          <w:bottom w:val="none" w:color="000000" w:sz="4" w:space="0"/>
          <w:right w:val="none" w:color="000000" w:sz="4" w:space="0"/>
        </w:pBdr>
        <w:spacing w:after="200" w:before="0" w:line="336"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295. </w:t>
      </w:r>
      <w:r>
        <w:rPr>
          <w:rFonts w:ascii="Gill Sans MT" w:hAnsi="Gill Sans MT" w:eastAsia="Gill Sans MT" w:cs="Gill Sans MT"/>
          <w:color w:val="000000"/>
          <w:sz w:val="26"/>
          <w:szCs w:val="26"/>
          <w:u w:val="single"/>
        </w:rPr>
        <w:t xml:space="preserve">Dans ce sens, saint Jean-Paul II proposait ce qu’on appelle la ‘‘loi de gradualité’’, conscient que l’être humain « connaît, aime et accomplit le bien moral en suivant les étapes d'une croissance ». Ce n’est pas une ‘‘gradualité de la loi’’, mais une gradu</w:t>
      </w:r>
      <w:r>
        <w:rPr>
          <w:rFonts w:ascii="Gill Sans MT" w:hAnsi="Gill Sans MT" w:eastAsia="Gill Sans MT" w:cs="Gill Sans MT"/>
          <w:color w:val="000000"/>
          <w:sz w:val="26"/>
          <w:szCs w:val="26"/>
          <w:u w:val="single"/>
        </w:rPr>
        <w:t xml:space="preserve">alité dans l’accomplissement prudent des actes libres de la part de sujets qui ne sont dans des conditions ni de comprendre, ni de valoriser ni d’observer pleinement les exigences objectives de la loi. En effet, la loi est aussi un don de Dieu qui indique </w:t>
      </w:r>
      <w:r>
        <w:rPr>
          <w:rFonts w:ascii="Gill Sans MT" w:hAnsi="Gill Sans MT" w:eastAsia="Gill Sans MT" w:cs="Gill Sans MT"/>
          <w:color w:val="000000"/>
          <w:sz w:val="26"/>
          <w:szCs w:val="26"/>
          <w:u w:val="single"/>
        </w:rPr>
        <w:t xml:space="preserve">le chemin, un don pour tous sans exception qu’on peut vivre par la force de la grâce, même si chaque être humain « va peu à peu de l'avant grâce à l'intégration progressive des dons de Dieu et des exigences de son amour définitif et absolu dans toute la vi</w:t>
      </w:r>
      <w:r>
        <w:rPr>
          <w:rFonts w:ascii="Gill Sans MT" w:hAnsi="Gill Sans MT" w:eastAsia="Gill Sans MT" w:cs="Gill Sans MT"/>
          <w:color w:val="000000"/>
          <w:sz w:val="26"/>
          <w:szCs w:val="26"/>
          <w:u w:val="single"/>
        </w:rPr>
        <w:t xml:space="preserve">e personnelle et sociale de l'homme ».</w:t>
      </w:r>
      <w:r>
        <w:rPr>
          <w:rFonts w:ascii="Gill Sans MT" w:hAnsi="Gill Sans MT" w:eastAsia="Gill Sans MT" w:cs="Gill Sans MT"/>
          <w:sz w:val="26"/>
          <w:szCs w:val="26"/>
        </w:rPr>
      </w:r>
    </w:p>
    <w:p w14:paraId="2CAD39F7">
      <w:pPr>
        <w:suppressLineNumbers w:val="false"/>
        <w:pBdr>
          <w:top w:val="none" w:color="000000" w:sz="4" w:space="0"/>
          <w:left w:val="none" w:color="000000" w:sz="4" w:space="0"/>
          <w:bottom w:val="none" w:color="000000" w:sz="4" w:space="0"/>
          <w:right w:val="none" w:color="000000" w:sz="4" w:space="0"/>
        </w:pBdr>
        <w:spacing w:after="200" w:before="0" w:line="336" w:lineRule="auto"/>
        <w:ind w:right="0" w:firstLine="0" w:left="0"/>
        <w:jc w:val="right"/>
        <w:rPr>
          <w:rFonts w:ascii="Gill Sans MT" w:hAnsi="Gill Sans MT" w:cs="Gill Sans MT"/>
          <w:sz w:val="26"/>
          <w:szCs w:val="26"/>
        </w:rPr>
      </w:pPr>
      <w:r>
        <w:rPr>
          <w:rFonts w:ascii="Gill Sans MT" w:hAnsi="Gill Sans MT" w:eastAsia="Gill Sans MT" w:cs="Gill Sans MT"/>
          <w:sz w:val="26"/>
          <w:szCs w:val="26"/>
        </w:rPr>
      </w:r>
      <w:hyperlink r:id="rId9" w:tooltip="https://www.vatican.va/content/francesco/fr/apost_exhortations/documents/papa-francesco_esortazione-ap_20160319_amoris-laetitia.html" w:history="1">
        <w:r>
          <w:rPr>
            <w:rStyle w:val="889"/>
            <w:rFonts w:ascii="Gill Sans MT" w:hAnsi="Gill Sans MT" w:eastAsia="Gill Sans MT" w:cs="Gill Sans MT"/>
            <w:i/>
            <w:color w:val="0000ee"/>
            <w:sz w:val="26"/>
            <w:szCs w:val="26"/>
            <w:u w:val="none"/>
          </w:rPr>
          <w:t xml:space="preserve">Amoris laetitia</w:t>
        </w:r>
        <w:r>
          <w:rPr>
            <w:rStyle w:val="889"/>
            <w:rFonts w:ascii="Gill Sans MT" w:hAnsi="Gill Sans MT" w:eastAsia="Gill Sans MT" w:cs="Gill Sans MT"/>
            <w:color w:val="0000ee"/>
            <w:sz w:val="26"/>
            <w:szCs w:val="26"/>
            <w:u w:val="single"/>
          </w:rPr>
          <w:t xml:space="preserve"> </w:t>
        </w:r>
      </w:hyperlink>
      <w:r>
        <w:rPr>
          <w:rFonts w:ascii="Gill Sans MT" w:hAnsi="Gill Sans MT" w:eastAsia="Gill Sans MT" w:cs="Gill Sans MT"/>
          <w:color w:val="000000"/>
          <w:sz w:val="26"/>
          <w:szCs w:val="26"/>
        </w:rPr>
        <w:t xml:space="preserve">(2016), Exhortation apostolique du Pape François</w:t>
      </w:r>
      <w:r>
        <w:rPr>
          <w:rFonts w:ascii="Gill Sans MT" w:hAnsi="Gill Sans MT" w:eastAsia="Gill Sans MT" w:cs="Gill Sans MT"/>
          <w:sz w:val="26"/>
          <w:szCs w:val="26"/>
        </w:rPr>
      </w:r>
    </w:p>
    <w:p w14:paraId="26F9F795">
      <w:pPr>
        <w:suppressLineNumbers w:val="false"/>
        <w:pBdr>
          <w:top w:val="none" w:color="000000" w:sz="4" w:space="0"/>
          <w:left w:val="none" w:color="000000" w:sz="4" w:space="0"/>
          <w:bottom w:val="none" w:color="000000" w:sz="4" w:space="0"/>
          <w:right w:val="none" w:color="000000" w:sz="4" w:space="0"/>
        </w:pBdr>
        <w:spacing w:after="200" w:before="0" w:line="336"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L'adjectif "prudent" renvoie à une vielle notion : celle de la "prudence" qui dans son sens premier désigne l'art du discernement, la capacité de faire un bon choix dans des circonstances données.</w:t>
      </w:r>
      <w:r>
        <w:rPr>
          <w:rFonts w:ascii="Gill Sans MT" w:hAnsi="Gill Sans MT" w:eastAsia="Gill Sans MT" w:cs="Gill Sans MT"/>
          <w:sz w:val="26"/>
          <w:szCs w:val="26"/>
        </w:rPr>
      </w:r>
    </w:p>
    <w:p w14:paraId="7F475BBE">
      <w:pPr>
        <w:suppressLineNumbers w:val="false"/>
        <w:pBdr/>
        <w:shd w:val="nil"/>
        <w:spacing/>
        <w:ind/>
        <w:rPr>
          <w:rFonts w:ascii="Gill Sans MT" w:hAnsi="Gill Sans MT" w:cs="Gill Sans MT"/>
          <w:b/>
          <w:bCs/>
          <w:sz w:val="48"/>
          <w:szCs w:val="48"/>
        </w:rPr>
      </w:pPr>
      <w:r>
        <w:rPr>
          <w:rFonts w:ascii="Gill Sans MT" w:hAnsi="Gill Sans MT" w:eastAsia="Gill Sans MT" w:cs="Gill Sans MT"/>
          <w:b/>
          <w:bCs/>
          <w:color w:val="191919"/>
          <w:sz w:val="48"/>
          <w:szCs w:val="28"/>
          <w:highlight w:val="none"/>
        </w:rPr>
        <w:br w:type="page" w:clear="all"/>
      </w:r>
      <w:r>
        <w:rPr>
          <w:rFonts w:ascii="Gill Sans MT" w:hAnsi="Gill Sans MT" w:eastAsia="Gill Sans MT" w:cs="Gill Sans MT"/>
          <w:b/>
          <w:bCs/>
          <w:color w:val="191919"/>
          <w:sz w:val="48"/>
          <w:szCs w:val="28"/>
          <w:highlight w:val="none"/>
        </w:rPr>
      </w:r>
      <w:r>
        <w:rPr>
          <w:rFonts w:ascii="Gill Sans MT" w:hAnsi="Gill Sans MT" w:eastAsia="Gill Sans MT" w:cs="Gill Sans MT"/>
          <w:b/>
          <w:bCs/>
          <w:color w:val="191919"/>
          <w:sz w:val="48"/>
          <w:szCs w:val="28"/>
          <w:highlight w:val="none"/>
        </w:rPr>
      </w:r>
    </w:p>
    <w:p w14:paraId="4EEBA306">
      <w:pPr>
        <w:pStyle w:val="844"/>
        <w:suppressLineNumbers w:val="false"/>
        <w:pBdr>
          <w:top w:val="none" w:color="000000" w:sz="4" w:space="0"/>
          <w:left w:val="none" w:color="000000" w:sz="4" w:space="0"/>
          <w:bottom w:val="none" w:color="000000" w:sz="4" w:space="0"/>
          <w:right w:val="none" w:color="000000" w:sz="4" w:space="0"/>
        </w:pBdr>
        <w:shd w:val="clear" w:color="fcfcfc" w:fill="fcfcfc"/>
        <w:spacing w:after="102" w:before="0" w:line="360" w:lineRule="auto"/>
        <w:ind w:right="0" w:firstLine="0" w:left="0"/>
        <w:jc w:val="center"/>
        <w:rPr>
          <w:rFonts w:ascii="Gill Sans MT" w:hAnsi="Gill Sans MT" w:eastAsia="Gill Sans MT" w:cs="Gill Sans MT"/>
          <w:b/>
          <w:bCs/>
          <w:color w:val="191919"/>
          <w:sz w:val="48"/>
          <w:szCs w:val="48"/>
          <w:highlight w:val="none"/>
        </w:rPr>
      </w:pPr>
      <w:r>
        <w:rPr>
          <w:rFonts w:ascii="Gill Sans MT" w:hAnsi="Gill Sans MT" w:eastAsia="Gill Sans MT" w:cs="Gill Sans MT"/>
          <w:b/>
          <w:bCs/>
          <w:color w:val="191919"/>
          <w:sz w:val="48"/>
          <w:szCs w:val="28"/>
        </w:rPr>
        <w:t xml:space="preserve">« La loi de gradualité peut aider à trouver des solutions pastorales »</w:t>
      </w:r>
      <w:r>
        <w:rPr>
          <w:rFonts w:ascii="Gill Sans MT" w:hAnsi="Gill Sans MT" w:eastAsia="Gill Sans MT" w:cs="Gill Sans MT"/>
          <w:b/>
          <w:bCs/>
          <w:sz w:val="28"/>
          <w:szCs w:val="28"/>
        </w:rPr>
      </w:r>
      <w:r>
        <w:rPr>
          <w:rFonts w:ascii="Gill Sans MT" w:hAnsi="Gill Sans MT" w:cs="Gill Sans MT"/>
          <w:b/>
          <w:bCs/>
          <w:sz w:val="48"/>
          <w:szCs w:val="28"/>
        </w:rPr>
      </w:r>
    </w:p>
    <w:p w14:paraId="3AF7BC9F">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jc w:val="right"/>
        <w:rPr>
          <w:rFonts w:ascii="Gill Sans MT" w:hAnsi="Gill Sans MT" w:cs="Gill Sans MT"/>
          <w:color w:val="000000" w:themeColor="text1"/>
          <w:sz w:val="26"/>
          <w:szCs w:val="26"/>
        </w:rPr>
      </w:pPr>
      <w:r>
        <w:rPr>
          <w:rFonts w:ascii="Gill Sans MT" w:hAnsi="Gill Sans MT" w:eastAsia="Gill Sans MT" w:cs="Gill Sans MT"/>
          <w:color w:val="000000" w:themeColor="text1"/>
          <w:sz w:val="26"/>
          <w:szCs w:val="26"/>
        </w:rPr>
        <w:t xml:space="preserve">Recueilli par </w:t>
      </w:r>
      <w:hyperlink r:id="rId10" w:tooltip="https://www.la-croix.com/auteur/claire-lesegretain" w:history="1">
        <w:r>
          <w:rPr>
            <w:rStyle w:val="889"/>
            <w:rFonts w:ascii="Gill Sans MT" w:hAnsi="Gill Sans MT" w:eastAsia="Gill Sans MT" w:cs="Gill Sans MT"/>
            <w:b/>
            <w:color w:val="000000" w:themeColor="text1"/>
            <w:sz w:val="26"/>
            <w:szCs w:val="26"/>
            <w:u w:val="none"/>
          </w:rPr>
          <w:t xml:space="preserve">Claire Lesegretain</w:t>
        </w:r>
      </w:hyperlink>
      <w:r>
        <w:rPr>
          <w:rFonts w:ascii="Gill Sans MT" w:hAnsi="Gill Sans MT" w:eastAsia="Gill Sans MT" w:cs="Gill Sans MT"/>
          <w:color w:val="000000" w:themeColor="text1"/>
          <w:sz w:val="26"/>
          <w:szCs w:val="26"/>
        </w:rPr>
      </w:r>
      <w:r>
        <w:rPr>
          <w:rFonts w:ascii="Gill Sans MT" w:hAnsi="Gill Sans MT" w:cs="Gill Sans MT"/>
          <w:color w:val="000000" w:themeColor="text1"/>
          <w:sz w:val="26"/>
          <w:szCs w:val="26"/>
        </w:rPr>
      </w:r>
    </w:p>
    <w:p w14:paraId="442AE660">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jc w:val="right"/>
        <w:rPr>
          <w:rFonts w:ascii="Gill Sans MT" w:hAnsi="Gill Sans MT" w:eastAsia="Gill Sans MT" w:cs="Gill Sans MT"/>
          <w:color w:val="000000" w:themeColor="text1"/>
          <w:sz w:val="26"/>
          <w:szCs w:val="26"/>
          <w:highlight w:val="none"/>
        </w:rPr>
      </w:pPr>
      <w:r>
        <w:rPr>
          <w:rFonts w:ascii="Gill Sans MT" w:hAnsi="Gill Sans MT" w:eastAsia="Gill Sans MT" w:cs="Gill Sans MT"/>
          <w:color w:val="000000" w:themeColor="text1"/>
          <w:sz w:val="26"/>
          <w:szCs w:val="26"/>
          <w:lang w:val="fr-BE"/>
        </w:rPr>
        <w:t xml:space="preserve">Journal La Croix -</w:t>
      </w:r>
      <w:r>
        <w:rPr>
          <w:rFonts w:ascii="Gill Sans MT" w:hAnsi="Gill Sans MT" w:eastAsia="Gill Sans MT" w:cs="Gill Sans MT"/>
          <w:color w:val="000000" w:themeColor="text1"/>
          <w:sz w:val="26"/>
          <w:szCs w:val="26"/>
        </w:rPr>
        <w:t xml:space="preserve">Modifié le</w:t>
      </w:r>
      <w:r>
        <w:rPr>
          <w:rFonts w:ascii="Gill Sans MT" w:hAnsi="Gill Sans MT" w:eastAsia="Gill Sans MT" w:cs="Gill Sans MT"/>
          <w:color w:val="000000" w:themeColor="text1"/>
          <w:sz w:val="26"/>
          <w:szCs w:val="26"/>
        </w:rPr>
        <w:t xml:space="preserve"> </w:t>
      </w:r>
      <w:r>
        <w:rPr>
          <w:rFonts w:ascii="Gill Sans MT" w:hAnsi="Gill Sans MT" w:eastAsia="Gill Sans MT" w:cs="Gill Sans MT"/>
          <w:color w:val="000000" w:themeColor="text1"/>
          <w:sz w:val="26"/>
          <w:szCs w:val="26"/>
        </w:rPr>
        <w:t xml:space="preserve">9 octobre 2014 à 9h54</w:t>
      </w:r>
      <w:r>
        <w:rPr>
          <w:rFonts w:ascii="Gill Sans MT" w:hAnsi="Gill Sans MT" w:cs="Gill Sans MT"/>
          <w:color w:val="000000" w:themeColor="text1"/>
          <w:sz w:val="26"/>
          <w:szCs w:val="26"/>
        </w:rPr>
      </w:r>
      <w:r>
        <w:rPr>
          <w:rFonts w:ascii="Gill Sans MT" w:hAnsi="Gill Sans MT" w:eastAsia="Gill Sans MT" w:cs="Gill Sans MT"/>
          <w:color w:val="000000" w:themeColor="text1"/>
          <w:sz w:val="26"/>
          <w:szCs w:val="26"/>
          <w:highlight w:val="none"/>
        </w:rPr>
      </w:r>
    </w:p>
    <w:p w14:paraId="30934502">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cs="Gill Sans MT"/>
          <w:sz w:val="26"/>
          <w:szCs w:val="26"/>
        </w:rPr>
      </w:pPr>
      <w:r>
        <w:rPr>
          <w:rFonts w:ascii="Gill Sans MT" w:hAnsi="Gill Sans MT" w:eastAsia="Gill Sans MT" w:cs="Gill Sans MT"/>
          <w:color w:val="666666"/>
          <w:sz w:val="26"/>
          <w:szCs w:val="26"/>
          <w:highlight w:val="none"/>
        </w:rPr>
      </w:r>
      <w:r>
        <w:rPr>
          <w:rFonts w:ascii="Gill Sans MT" w:hAnsi="Gill Sans MT" w:eastAsia="Gill Sans MT" w:cs="Gill Sans MT"/>
          <w:color w:val="666666"/>
          <w:sz w:val="26"/>
          <w:szCs w:val="26"/>
          <w:highlight w:val="none"/>
        </w:rPr>
      </w:r>
      <w:r>
        <w:rPr>
          <w:rFonts w:ascii="Gill Sans MT" w:hAnsi="Gill Sans MT" w:cs="Gill Sans MT"/>
          <w:sz w:val="26"/>
          <w:szCs w:val="26"/>
        </w:rPr>
      </w:r>
    </w:p>
    <w:p w14:paraId="10332FDD">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cs="Gill Sans MT"/>
          <w:sz w:val="26"/>
          <w:szCs w:val="26"/>
        </w:rPr>
      </w:pPr>
      <w:r>
        <w:rPr>
          <w:rFonts w:ascii="Gill Sans MT" w:hAnsi="Gill Sans MT" w:eastAsia="Gill Sans MT" w:cs="Gill Sans MT"/>
          <w:color w:val="191919"/>
          <w:sz w:val="26"/>
          <w:szCs w:val="26"/>
        </w:rPr>
        <w:t xml:space="preserve">Lors du Synode sur la famille, plusieurs interventions ont porté sur la loi de gradualité. En quoi ce concept de théologie morale peut-il aider les chrétiens à mieux comprendre et à mieux suivre l’enseignement de l’Église ? Le point avec le jésuite Alain T</w:t>
      </w:r>
      <w:r>
        <w:rPr>
          <w:rFonts w:ascii="Gill Sans MT" w:hAnsi="Gill Sans MT" w:eastAsia="Gill Sans MT" w:cs="Gill Sans MT"/>
          <w:color w:val="191919"/>
          <w:sz w:val="26"/>
          <w:szCs w:val="26"/>
        </w:rPr>
        <w:t xml:space="preserve">homasset, professeur de théologie morale au Centre Sèvres à Paris, président de l’Association de théologiens pour l’étude de la morale (ATEM).</w:t>
      </w:r>
      <w:r>
        <w:rPr>
          <w:rFonts w:ascii="Gill Sans MT" w:hAnsi="Gill Sans MT" w:eastAsia="Gill Sans MT" w:cs="Gill Sans MT"/>
          <w:sz w:val="26"/>
          <w:szCs w:val="26"/>
        </w:rPr>
      </w:r>
      <w:r>
        <w:rPr>
          <w:rFonts w:ascii="Gill Sans MT" w:hAnsi="Gill Sans MT" w:cs="Gill Sans MT"/>
          <w:sz w:val="26"/>
          <w:szCs w:val="26"/>
        </w:rPr>
      </w:r>
    </w:p>
    <w:p w14:paraId="18C7E299">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cs="Gill Sans MT"/>
          <w:sz w:val="26"/>
          <w:szCs w:val="26"/>
        </w:rPr>
      </w:pPr>
      <w:r>
        <w:rPr>
          <w:rFonts w:ascii="Gill Sans MT" w:hAnsi="Gill Sans MT" w:eastAsia="Gill Sans MT" w:cs="Gill Sans MT"/>
          <w:b/>
          <w:color w:val="191919"/>
          <w:sz w:val="26"/>
          <w:szCs w:val="26"/>
        </w:rPr>
        <w:t xml:space="preserve">La Croix : Qu’est-ce que la loi de gradualité ?</w:t>
      </w:r>
      <w:r>
        <w:rPr>
          <w:rFonts w:ascii="Gill Sans MT" w:hAnsi="Gill Sans MT" w:eastAsia="Gill Sans MT" w:cs="Gill Sans MT"/>
          <w:sz w:val="26"/>
          <w:szCs w:val="26"/>
        </w:rPr>
      </w:r>
      <w:r>
        <w:rPr>
          <w:rFonts w:ascii="Gill Sans MT" w:hAnsi="Gill Sans MT" w:cs="Gill Sans MT"/>
          <w:sz w:val="26"/>
          <w:szCs w:val="26"/>
        </w:rPr>
      </w:r>
    </w:p>
    <w:p w14:paraId="032DB017">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cs="Gill Sans MT"/>
          <w:sz w:val="26"/>
          <w:szCs w:val="26"/>
        </w:rPr>
      </w:pPr>
      <w:r>
        <w:rPr>
          <w:rFonts w:ascii="Gill Sans MT" w:hAnsi="Gill Sans MT" w:eastAsia="Gill Sans MT" w:cs="Gill Sans MT"/>
          <w:b/>
          <w:color w:val="191919"/>
          <w:sz w:val="26"/>
          <w:szCs w:val="26"/>
        </w:rPr>
        <w:t xml:space="preserve">P. Alain Thomasset :</w:t>
      </w:r>
      <w:r>
        <w:rPr>
          <w:rFonts w:ascii="Gill Sans MT" w:hAnsi="Gill Sans MT" w:eastAsia="Gill Sans MT" w:cs="Gill Sans MT"/>
          <w:color w:val="191919"/>
          <w:sz w:val="26"/>
          <w:szCs w:val="26"/>
        </w:rPr>
        <w:t xml:space="preserve"> C’est la prise en compte des limites humaines : nous sommes des êtres historiques, faibles et habités par le péché ! Ce qui signifie que l’on ne peut exiger du chrétien qu’il applique toute la loi morale, entièrement et d’un coup, mais qu’il faut au contr</w:t>
      </w:r>
      <w:r>
        <w:rPr>
          <w:rFonts w:ascii="Gill Sans MT" w:hAnsi="Gill Sans MT" w:eastAsia="Gill Sans MT" w:cs="Gill Sans MT"/>
          <w:color w:val="191919"/>
          <w:sz w:val="26"/>
          <w:szCs w:val="26"/>
        </w:rPr>
        <w:t xml:space="preserve">aire l’aider à avancer sur un chemin de croissance, dans la durée.</w:t>
      </w:r>
      <w:r>
        <w:rPr>
          <w:rFonts w:ascii="Gill Sans MT" w:hAnsi="Gill Sans MT" w:eastAsia="Gill Sans MT" w:cs="Gill Sans MT"/>
          <w:sz w:val="26"/>
          <w:szCs w:val="26"/>
        </w:rPr>
      </w:r>
      <w:r>
        <w:rPr>
          <w:rFonts w:ascii="Gill Sans MT" w:hAnsi="Gill Sans MT" w:cs="Gill Sans MT"/>
          <w:sz w:val="26"/>
          <w:szCs w:val="26"/>
        </w:rPr>
      </w:r>
    </w:p>
    <w:p w14:paraId="5B9BCF80">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cs="Gill Sans MT"/>
          <w:sz w:val="26"/>
          <w:szCs w:val="26"/>
        </w:rPr>
      </w:pPr>
      <w:r>
        <w:rPr>
          <w:rFonts w:ascii="Gill Sans MT" w:hAnsi="Gill Sans MT" w:eastAsia="Gill Sans MT" w:cs="Gill Sans MT"/>
          <w:color w:val="191919"/>
          <w:sz w:val="26"/>
          <w:szCs w:val="26"/>
        </w:rPr>
        <w:t xml:space="preserve">La loi de gradualité est un vieux principe spirituel et biblique : saint François de Sales l’évoquait déjà en parlant de l’apprentissage des vertus par l’éducation progressive. Mais c’est avec </w:t>
      </w:r>
      <w:r>
        <w:rPr>
          <w:rFonts w:ascii="Gill Sans MT" w:hAnsi="Gill Sans MT" w:eastAsia="Gill Sans MT" w:cs="Gill Sans MT"/>
          <w:i/>
          <w:color w:val="191919"/>
          <w:sz w:val="26"/>
          <w:szCs w:val="26"/>
        </w:rPr>
        <w:t xml:space="preserve">Familiaris consortio</w:t>
      </w:r>
      <w:r>
        <w:rPr>
          <w:rFonts w:ascii="Gill Sans MT" w:hAnsi="Gill Sans MT" w:eastAsia="Gill Sans MT" w:cs="Gill Sans MT"/>
          <w:color w:val="191919"/>
          <w:sz w:val="26"/>
          <w:szCs w:val="26"/>
        </w:rPr>
        <w:t xml:space="preserve">, l’exhortation apostolique de Jean-Paul II sur la famille, en 1981, que cette loi de gradualité a été proposée comme itinéraire moral des époux, puis élargie à l’ensemble de la vie morale.</w:t>
      </w:r>
      <w:r>
        <w:rPr>
          <w:rFonts w:ascii="Gill Sans MT" w:hAnsi="Gill Sans MT" w:eastAsia="Gill Sans MT" w:cs="Gill Sans MT"/>
          <w:sz w:val="26"/>
          <w:szCs w:val="26"/>
        </w:rPr>
      </w:r>
      <w:r>
        <w:rPr>
          <w:rFonts w:ascii="Gill Sans MT" w:hAnsi="Gill Sans MT" w:cs="Gill Sans MT"/>
          <w:sz w:val="26"/>
          <w:szCs w:val="26"/>
        </w:rPr>
      </w:r>
    </w:p>
    <w:p w14:paraId="607BBD71">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cs="Gill Sans MT"/>
          <w:sz w:val="26"/>
          <w:szCs w:val="26"/>
        </w:rPr>
      </w:pPr>
      <w:r>
        <w:rPr>
          <w:rFonts w:ascii="Gill Sans MT" w:hAnsi="Gill Sans MT" w:eastAsia="Gill Sans MT" w:cs="Gill Sans MT"/>
          <w:color w:val="191919"/>
          <w:sz w:val="26"/>
          <w:szCs w:val="26"/>
        </w:rPr>
        <w:t xml:space="preserve">En fait, il s’agit de toujours viser le bien et de s’efforcer à le faire – ce n’est pas la gradualité de la loi – mais d’accepter de passer par une progressivité quand il n’est pas possible de faire tout le bien espéré ou souhaitable à un moment donné. Il </w:t>
      </w:r>
      <w:r>
        <w:rPr>
          <w:rFonts w:ascii="Gill Sans MT" w:hAnsi="Gill Sans MT" w:eastAsia="Gill Sans MT" w:cs="Gill Sans MT"/>
          <w:color w:val="191919"/>
          <w:sz w:val="26"/>
          <w:szCs w:val="26"/>
        </w:rPr>
        <w:t xml:space="preserve">s’agit aussi de faire confiance et de croire en une collaboration entre efforts humains et grâce divine. La vie morale est toujours un chemin.</w:t>
      </w:r>
      <w:r>
        <w:rPr>
          <w:rFonts w:ascii="Gill Sans MT" w:hAnsi="Gill Sans MT" w:eastAsia="Gill Sans MT" w:cs="Gill Sans MT"/>
          <w:sz w:val="26"/>
          <w:szCs w:val="26"/>
        </w:rPr>
      </w:r>
      <w:r>
        <w:rPr>
          <w:rFonts w:ascii="Gill Sans MT" w:hAnsi="Gill Sans MT" w:cs="Gill Sans MT"/>
          <w:sz w:val="26"/>
          <w:szCs w:val="26"/>
        </w:rPr>
      </w:r>
    </w:p>
    <w:p w14:paraId="7674A09B">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cs="Gill Sans MT"/>
          <w:sz w:val="26"/>
          <w:szCs w:val="26"/>
        </w:rPr>
      </w:pPr>
      <w:r>
        <w:rPr>
          <w:rFonts w:ascii="Gill Sans MT" w:hAnsi="Gill Sans MT" w:eastAsia="Gill Sans MT" w:cs="Gill Sans MT"/>
          <w:b/>
          <w:color w:val="191919"/>
          <w:sz w:val="26"/>
          <w:szCs w:val="26"/>
        </w:rPr>
        <w:t xml:space="preserve">En quoi cette loi peut-elle aider dans leurs travaux les cardinaux et évêques qui participent au Synode sur la famille ?</w:t>
      </w:r>
      <w:r>
        <w:rPr>
          <w:rFonts w:ascii="Gill Sans MT" w:hAnsi="Gill Sans MT" w:eastAsia="Gill Sans MT" w:cs="Gill Sans MT"/>
          <w:sz w:val="26"/>
          <w:szCs w:val="26"/>
        </w:rPr>
      </w:r>
      <w:r>
        <w:rPr>
          <w:rFonts w:ascii="Gill Sans MT" w:hAnsi="Gill Sans MT" w:cs="Gill Sans MT"/>
          <w:sz w:val="26"/>
          <w:szCs w:val="26"/>
        </w:rPr>
      </w:r>
    </w:p>
    <w:p w14:paraId="63C157EB">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cs="Gill Sans MT"/>
          <w:sz w:val="26"/>
          <w:szCs w:val="26"/>
        </w:rPr>
      </w:pPr>
      <w:r>
        <w:rPr>
          <w:rFonts w:ascii="Gill Sans MT" w:hAnsi="Gill Sans MT" w:eastAsia="Gill Sans MT" w:cs="Gill Sans MT"/>
          <w:b/>
          <w:color w:val="191919"/>
          <w:sz w:val="26"/>
          <w:szCs w:val="26"/>
        </w:rPr>
        <w:t xml:space="preserve">A. T. :</w:t>
      </w:r>
      <w:r>
        <w:rPr>
          <w:rFonts w:ascii="Gill Sans MT" w:hAnsi="Gill Sans MT" w:eastAsia="Gill Sans MT" w:cs="Gill Sans MT"/>
          <w:color w:val="191919"/>
          <w:sz w:val="26"/>
          <w:szCs w:val="26"/>
        </w:rPr>
        <w:t xml:space="preserve"> Elle peut aider à déculpabiliser le chrétien qui ne parvient pas toujours, malgré ses efforts, à mettre en œuvre toute l’exigence éthique. Elle peut l’aider aussi pour distinguer l’idéal à atteindre et le bien qu’il arrive sincèrement à faire. C’est une l</w:t>
      </w:r>
      <w:r>
        <w:rPr>
          <w:rFonts w:ascii="Gill Sans MT" w:hAnsi="Gill Sans MT" w:eastAsia="Gill Sans MT" w:cs="Gill Sans MT"/>
          <w:color w:val="191919"/>
          <w:sz w:val="26"/>
          <w:szCs w:val="26"/>
        </w:rPr>
        <w:t xml:space="preserve">oi de bon sens, car elle donne une assise à une meilleure compréhension pastorale des situations difficiles. Je pense notamment à la question de la contraception ou de l’homosexualité.</w:t>
      </w:r>
      <w:r>
        <w:rPr>
          <w:rFonts w:ascii="Gill Sans MT" w:hAnsi="Gill Sans MT" w:eastAsia="Gill Sans MT" w:cs="Gill Sans MT"/>
          <w:sz w:val="26"/>
          <w:szCs w:val="26"/>
        </w:rPr>
      </w:r>
      <w:r>
        <w:rPr>
          <w:rFonts w:ascii="Gill Sans MT" w:hAnsi="Gill Sans MT" w:cs="Gill Sans MT"/>
          <w:sz w:val="26"/>
          <w:szCs w:val="26"/>
        </w:rPr>
      </w:r>
    </w:p>
    <w:p w14:paraId="3D93B550">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cs="Gill Sans MT"/>
          <w:sz w:val="26"/>
          <w:szCs w:val="26"/>
        </w:rPr>
      </w:pPr>
      <w:r>
        <w:rPr>
          <w:rFonts w:ascii="Gill Sans MT" w:hAnsi="Gill Sans MT" w:eastAsia="Gill Sans MT" w:cs="Gill Sans MT"/>
          <w:color w:val="191919"/>
          <w:sz w:val="26"/>
          <w:szCs w:val="26"/>
        </w:rPr>
        <w:t xml:space="preserve">Mais cette loi de gradualité, utile pour trouver des solutions pastorales plus miséricordieuses, ne peut résoudre les questions de fond posées par ce Synode. Car certes, il est nécessaire de changer de langage, de supprimer des formules qui ne sont plus co</w:t>
      </w:r>
      <w:r>
        <w:rPr>
          <w:rFonts w:ascii="Gill Sans MT" w:hAnsi="Gill Sans MT" w:eastAsia="Gill Sans MT" w:cs="Gill Sans MT"/>
          <w:color w:val="191919"/>
          <w:sz w:val="26"/>
          <w:szCs w:val="26"/>
        </w:rPr>
        <w:t xml:space="preserve">mprises, telles « vivre dans le péché » ou « actes intrinsèquement désordonnés »… S’il s’agit de mieux comprendre la doctrine, la loi de gradualité ne suffira pas…</w:t>
      </w:r>
      <w:r>
        <w:rPr>
          <w:rFonts w:ascii="Gill Sans MT" w:hAnsi="Gill Sans MT" w:eastAsia="Gill Sans MT" w:cs="Gill Sans MT"/>
          <w:sz w:val="26"/>
          <w:szCs w:val="26"/>
        </w:rPr>
      </w:r>
      <w:r>
        <w:rPr>
          <w:rFonts w:ascii="Gill Sans MT" w:hAnsi="Gill Sans MT" w:cs="Gill Sans MT"/>
          <w:sz w:val="26"/>
          <w:szCs w:val="26"/>
        </w:rPr>
      </w:r>
    </w:p>
    <w:p w14:paraId="131ED59A">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cs="Gill Sans MT"/>
          <w:sz w:val="26"/>
          <w:szCs w:val="26"/>
        </w:rPr>
      </w:pPr>
      <w:r>
        <w:rPr>
          <w:rFonts w:ascii="Gill Sans MT" w:hAnsi="Gill Sans MT" w:eastAsia="Gill Sans MT" w:cs="Gill Sans MT"/>
          <w:b/>
          <w:color w:val="191919"/>
          <w:sz w:val="26"/>
          <w:szCs w:val="26"/>
        </w:rPr>
        <w:t xml:space="preserve">Cela signifie-t-il que la loi de gradualité ne peut être d’une grande aide ?</w:t>
      </w:r>
      <w:r>
        <w:rPr>
          <w:rFonts w:ascii="Gill Sans MT" w:hAnsi="Gill Sans MT" w:eastAsia="Gill Sans MT" w:cs="Gill Sans MT"/>
          <w:sz w:val="26"/>
          <w:szCs w:val="26"/>
        </w:rPr>
      </w:r>
      <w:r>
        <w:rPr>
          <w:rFonts w:ascii="Gill Sans MT" w:hAnsi="Gill Sans MT" w:cs="Gill Sans MT"/>
          <w:sz w:val="26"/>
          <w:szCs w:val="26"/>
        </w:rPr>
      </w:r>
    </w:p>
    <w:p w14:paraId="40A657DC">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cs="Gill Sans MT"/>
          <w:sz w:val="26"/>
          <w:szCs w:val="26"/>
        </w:rPr>
      </w:pPr>
      <w:r>
        <w:rPr>
          <w:rFonts w:ascii="Gill Sans MT" w:hAnsi="Gill Sans MT" w:eastAsia="Gill Sans MT" w:cs="Gill Sans MT"/>
          <w:b/>
          <w:color w:val="191919"/>
          <w:sz w:val="26"/>
          <w:szCs w:val="26"/>
        </w:rPr>
        <w:t xml:space="preserve">A. T. :</w:t>
      </w:r>
      <w:r>
        <w:rPr>
          <w:rFonts w:ascii="Gill Sans MT" w:hAnsi="Gill Sans MT" w:eastAsia="Gill Sans MT" w:cs="Gill Sans MT"/>
          <w:b/>
          <w:color w:val="191919"/>
          <w:sz w:val="26"/>
          <w:szCs w:val="26"/>
        </w:rPr>
        <w:t xml:space="preserve"> </w:t>
      </w:r>
      <w:r>
        <w:rPr>
          <w:rFonts w:ascii="Gill Sans MT" w:hAnsi="Gill Sans MT" w:eastAsia="Gill Sans MT" w:cs="Gill Sans MT"/>
          <w:color w:val="191919"/>
          <w:sz w:val="26"/>
          <w:szCs w:val="26"/>
        </w:rPr>
        <w:t xml:space="preserve">En fait, la loi de gradualité ne peut s’appliquer vraiment que dans le cadre de l’accompagnement pastoral. Or il s’agit là, </w:t>
      </w:r>
      <w:hyperlink r:id="rId11" w:tooltip="https://www.la-croix.com/Religion/Actualite/Famille-l-eveque-d-Anvers-plaide-pour-un-aggiornamento-de-l-Eglise-2014-09-04-1201298" w:history="1">
        <w:r>
          <w:rPr>
            <w:rStyle w:val="889"/>
            <w:rFonts w:ascii="Gill Sans MT" w:hAnsi="Gill Sans MT" w:eastAsia="Gill Sans MT" w:cs="Gill Sans MT"/>
            <w:color w:val="1a3aab"/>
            <w:sz w:val="26"/>
            <w:szCs w:val="26"/>
            <w:u w:val="none"/>
          </w:rPr>
          <w:t xml:space="preserve">comme l’a fort bien dit Mgr Johan Bonny</w:t>
        </w:r>
      </w:hyperlink>
      <w:r>
        <w:rPr>
          <w:rFonts w:ascii="Gill Sans MT" w:hAnsi="Gill Sans MT" w:eastAsia="Gill Sans MT" w:cs="Gill Sans MT"/>
          <w:color w:val="191919"/>
          <w:sz w:val="26"/>
          <w:szCs w:val="26"/>
        </w:rPr>
        <w:t xml:space="preserve">, évêque d’Anvers (Belgique), de faire dialoguer plusieurs écoles de théologie morale.</w:t>
      </w:r>
      <w:r>
        <w:rPr>
          <w:rFonts w:ascii="Gill Sans MT" w:hAnsi="Gill Sans MT" w:eastAsia="Gill Sans MT" w:cs="Gill Sans MT"/>
          <w:sz w:val="26"/>
          <w:szCs w:val="26"/>
        </w:rPr>
      </w:r>
      <w:r>
        <w:rPr>
          <w:rFonts w:ascii="Gill Sans MT" w:hAnsi="Gill Sans MT" w:cs="Gill Sans MT"/>
          <w:sz w:val="26"/>
          <w:szCs w:val="26"/>
        </w:rPr>
      </w:r>
    </w:p>
    <w:p w14:paraId="00AABBA6">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eastAsia="Gill Sans MT" w:cs="Gill Sans MT"/>
          <w:color w:val="191919"/>
          <w:sz w:val="26"/>
          <w:szCs w:val="26"/>
          <w:highlight w:val="none"/>
        </w:rPr>
      </w:pPr>
      <w:r>
        <w:rPr>
          <w:rFonts w:ascii="Gill Sans MT" w:hAnsi="Gill Sans MT" w:eastAsia="Gill Sans MT" w:cs="Gill Sans MT"/>
          <w:color w:val="191919"/>
          <w:sz w:val="26"/>
          <w:szCs w:val="26"/>
        </w:rPr>
        <w:t xml:space="preserve">Depuis plusieurs décennies, l’école personnaliste, qui place la personne humaine au cœur de la morale en vue de son développement vers une plus grande dignité, a été délaissée au profit d’une école d’interprétation de la loi naturelle. Si cette approche pe</w:t>
      </w:r>
      <w:r>
        <w:rPr>
          <w:rFonts w:ascii="Gill Sans MT" w:hAnsi="Gill Sans MT" w:eastAsia="Gill Sans MT" w:cs="Gill Sans MT"/>
          <w:color w:val="191919"/>
          <w:sz w:val="26"/>
          <w:szCs w:val="26"/>
        </w:rPr>
        <w:t xml:space="preserve">rsonnaliste, entre autres, n’est pas remise en valeur, ce Synode risque de ne pas renouveler beaucoup l’évangélisation du mariage et de la famille.</w:t>
      </w:r>
      <w:r>
        <w:rPr>
          <w:rFonts w:ascii="Gill Sans MT" w:hAnsi="Gill Sans MT" w:cs="Gill Sans MT"/>
          <w:sz w:val="26"/>
          <w:szCs w:val="26"/>
        </w:rPr>
      </w:r>
      <w:r>
        <w:rPr>
          <w:rFonts w:ascii="Gill Sans MT" w:hAnsi="Gill Sans MT" w:eastAsia="Gill Sans MT" w:cs="Gill Sans MT"/>
          <w:color w:val="191919"/>
          <w:sz w:val="26"/>
          <w:szCs w:val="26"/>
          <w:highlight w:val="none"/>
        </w:rPr>
      </w:r>
    </w:p>
    <w:p w14:paraId="00FC8716">
      <w:pPr>
        <w:suppressLineNumbers w:val="false"/>
        <w:pBdr>
          <w:top w:val="none" w:color="000000" w:sz="4" w:space="0"/>
          <w:left w:val="none" w:color="000000" w:sz="4" w:space="0"/>
          <w:bottom w:val="none" w:color="000000" w:sz="4" w:space="0"/>
          <w:right w:val="none" w:color="000000" w:sz="4" w:space="0"/>
        </w:pBdr>
        <w:shd w:val="clear" w:color="fcfcfc" w:fill="fcfcfc"/>
        <w:spacing w:after="283" w:before="0" w:line="360" w:lineRule="auto"/>
        <w:ind w:right="0" w:firstLine="0" w:left="0"/>
        <w:rPr>
          <w:rFonts w:ascii="Gill Sans MT" w:hAnsi="Gill Sans MT" w:cs="Gill Sans MT"/>
          <w:sz w:val="26"/>
          <w:szCs w:val="26"/>
        </w:rPr>
      </w:pPr>
      <w:r>
        <w:rPr>
          <w:rFonts w:ascii="Gill Sans MT" w:hAnsi="Gill Sans MT" w:eastAsia="Gill Sans MT" w:cs="Gill Sans MT"/>
          <w:color w:val="191919"/>
          <w:sz w:val="26"/>
          <w:szCs w:val="26"/>
          <w:highlight w:val="none"/>
        </w:rPr>
      </w:r>
      <w:r>
        <w:rPr>
          <w:rFonts w:ascii="Gill Sans MT" w:hAnsi="Gill Sans MT" w:eastAsia="Gill Sans MT" w:cs="Gill Sans MT"/>
          <w:color w:val="191919"/>
          <w:sz w:val="26"/>
          <w:szCs w:val="26"/>
          <w:highlight w:val="none"/>
        </w:rPr>
      </w:r>
      <w:r>
        <w:rPr>
          <w:rFonts w:ascii="Gill Sans MT" w:hAnsi="Gill Sans MT" w:cs="Gill Sans MT"/>
          <w:sz w:val="26"/>
          <w:szCs w:val="26"/>
        </w:rPr>
      </w:r>
    </w:p>
    <w:p>
      <w:pPr>
        <w:suppressLineNumbers w:val="false"/>
        <w:pBdr/>
        <w:spacing w:after="283" w:before="0" w:line="360" w:lineRule="auto"/>
        <w:ind/>
        <w:rPr>
          <w:rFonts w:ascii="Gill Sans MT" w:hAnsi="Gill Sans MT" w:cs="Gill Sans MT"/>
          <w:sz w:val="26"/>
          <w:szCs w:val="26"/>
        </w:rPr>
      </w:pPr>
      <w:r>
        <w:rPr>
          <w:rFonts w:ascii="Gill Sans MT" w:hAnsi="Gill Sans MT" w:eastAsia="Gill Sans MT" w:cs="Gill Sans MT"/>
          <w:sz w:val="26"/>
          <w:szCs w:val="26"/>
        </w:rPr>
      </w:r>
      <w:r>
        <w:rPr>
          <w:rFonts w:ascii="Gill Sans MT" w:hAnsi="Gill Sans MT" w:eastAsia="Gill Sans MT" w:cs="Gill Sans MT"/>
          <w:sz w:val="26"/>
          <w:szCs w:val="26"/>
        </w:rPr>
        <w:t xml:space="preserve">https://www.la-croix.com/Religion/Actualite/La-loi-de-gradualite-peut-aider-a-trouver-des-solutions-pastorales-2014-10-08-1218313</w:t>
      </w:r>
      <w:r>
        <w:rPr>
          <w:rFonts w:ascii="Gill Sans MT" w:hAnsi="Gill Sans MT" w:eastAsia="Gill Sans MT" w:cs="Gill Sans MT"/>
          <w:sz w:val="26"/>
          <w:szCs w:val="26"/>
        </w:rPr>
      </w:r>
      <w:r>
        <w:rPr>
          <w:rFonts w:ascii="Gill Sans MT" w:hAnsi="Gill Sans MT" w:cs="Gill Sans MT"/>
          <w:sz w:val="26"/>
          <w:szCs w:val="26"/>
        </w:rPr>
      </w:r>
    </w:p>
    <w:sectPr>
      <w:footerReference w:type="default" r:id="rId8"/>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BF12BF">
    <w:pPr>
      <w:pStyle w:val="880"/>
      <w:pBdr/>
      <w:spacing/>
      <w:ind/>
      <w:jc w:val="right"/>
      <w:rPr/>
    </w:pPr>
    <w:r>
      <w:rPr>
        <w:lang w:val="fr-BE"/>
      </w:rPr>
      <w:t xml:space="preserve">Gradualité - </w:t>
    </w:r>
    <w:fldSimple w:instr="PAGE \* MERGEFORMAT">
      <w:r>
        <w:t xml:space="preserve">1</w:t>
      </w:r>
    </w:fldSimple>
    <w:r/>
    <w:r/>
  </w:p>
  <w:p w14:paraId="66D6EF73">
    <w:pPr>
      <w:pStyle w:val="88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14:paraId="17A9CEAC">
      <w:pPr>
        <w:pStyle w:val="883"/>
        <w:pBdr/>
        <w:spacing/>
        <w:ind/>
        <w:rPr/>
      </w:pPr>
      <w:r>
        <w:rPr>
          <w:rStyle w:val="885"/>
        </w:rPr>
        <w:footnoteRef/>
      </w:r>
      <w:r>
        <w:t xml:space="preserve"> </w:t>
      </w: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8">
    <w:name w:val="Table Grid"/>
    <w:basedOn w:val="90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Table Grid Light"/>
    <w:basedOn w:val="9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1"/>
    <w:basedOn w:val="9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2"/>
    <w:basedOn w:val="9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3"/>
    <w:basedOn w:val="9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4"/>
    <w:basedOn w:val="9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Plain Table 5"/>
    <w:basedOn w:val="9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w:basedOn w:val="9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1"/>
    <w:basedOn w:val="9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2"/>
    <w:basedOn w:val="9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3"/>
    <w:basedOn w:val="9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4"/>
    <w:basedOn w:val="9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5"/>
    <w:basedOn w:val="9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6"/>
    <w:basedOn w:val="9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w:basedOn w:val="9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1"/>
    <w:basedOn w:val="9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2"/>
    <w:basedOn w:val="9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3"/>
    <w:basedOn w:val="9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4"/>
    <w:basedOn w:val="9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5"/>
    <w:basedOn w:val="9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6"/>
    <w:basedOn w:val="9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w:basedOn w:val="9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1"/>
    <w:basedOn w:val="9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2"/>
    <w:basedOn w:val="9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3"/>
    <w:basedOn w:val="9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4"/>
    <w:basedOn w:val="9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5"/>
    <w:basedOn w:val="9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6"/>
    <w:basedOn w:val="9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w:basedOn w:val="9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1"/>
    <w:basedOn w:val="9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2"/>
    <w:basedOn w:val="9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3"/>
    <w:basedOn w:val="9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4"/>
    <w:basedOn w:val="9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5"/>
    <w:basedOn w:val="9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6"/>
    <w:basedOn w:val="9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Accent 1"/>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 Accent 2"/>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 Accent 3"/>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Accent 4"/>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 Accent 5"/>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 Accent 6"/>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6 Colorful"/>
    <w:basedOn w:val="9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1">
    <w:name w:val="Grid Table 6 Colorful - Accent 1"/>
    <w:basedOn w:val="9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2">
    <w:name w:val="Grid Table 6 Colorful - Accent 2"/>
    <w:basedOn w:val="9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3">
    <w:name w:val="Grid Table 6 Colorful - Accent 3"/>
    <w:basedOn w:val="9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4">
    <w:name w:val="Grid Table 6 Colorful - Accent 4"/>
    <w:basedOn w:val="9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5">
    <w:name w:val="Grid Table 6 Colorful - Accent 5"/>
    <w:basedOn w:val="9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6">
    <w:name w:val="Grid Table 6 Colorful - Accent 6"/>
    <w:basedOn w:val="9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7">
    <w:name w:val="Grid Table 7 Colorful"/>
    <w:basedOn w:val="9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1"/>
    <w:basedOn w:val="9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2"/>
    <w:basedOn w:val="9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3"/>
    <w:basedOn w:val="9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4"/>
    <w:basedOn w:val="9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5"/>
    <w:basedOn w:val="9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6"/>
    <w:basedOn w:val="9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1"/>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2"/>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3"/>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4"/>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5"/>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6"/>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w:basedOn w:val="9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1"/>
    <w:basedOn w:val="9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2"/>
    <w:basedOn w:val="9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3"/>
    <w:basedOn w:val="9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4"/>
    <w:basedOn w:val="9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5"/>
    <w:basedOn w:val="9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6"/>
    <w:basedOn w:val="9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w:basedOn w:val="9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1"/>
    <w:basedOn w:val="9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2"/>
    <w:basedOn w:val="9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3"/>
    <w:basedOn w:val="9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4"/>
    <w:basedOn w:val="9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5"/>
    <w:basedOn w:val="9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6"/>
    <w:basedOn w:val="9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w:basedOn w:val="9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1"/>
    <w:basedOn w:val="9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2"/>
    <w:basedOn w:val="9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3"/>
    <w:basedOn w:val="9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4"/>
    <w:basedOn w:val="9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5"/>
    <w:basedOn w:val="9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6"/>
    <w:basedOn w:val="9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5 Dark"/>
    <w:basedOn w:val="9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1"/>
    <w:basedOn w:val="9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2"/>
    <w:basedOn w:val="9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3"/>
    <w:basedOn w:val="9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4"/>
    <w:basedOn w:val="9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5"/>
    <w:basedOn w:val="9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6"/>
    <w:basedOn w:val="9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6 Colorful"/>
    <w:basedOn w:val="9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1"/>
    <w:basedOn w:val="9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2"/>
    <w:basedOn w:val="9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3"/>
    <w:basedOn w:val="9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4"/>
    <w:basedOn w:val="9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5"/>
    <w:basedOn w:val="9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6"/>
    <w:basedOn w:val="9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7 Colorful"/>
    <w:basedOn w:val="9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7">
    <w:name w:val="List Table 7 Colorful - Accent 1"/>
    <w:basedOn w:val="9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8">
    <w:name w:val="List Table 7 Colorful - Accent 2"/>
    <w:basedOn w:val="9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9">
    <w:name w:val="List Table 7 Colorful - Accent 3"/>
    <w:basedOn w:val="9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20">
    <w:name w:val="List Table 7 Colorful - Accent 4"/>
    <w:basedOn w:val="9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1">
    <w:name w:val="List Table 7 Colorful - Accent 5"/>
    <w:basedOn w:val="9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22">
    <w:name w:val="List Table 7 Colorful - Accent 6"/>
    <w:basedOn w:val="9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23">
    <w:name w:val="Lined - Accent"/>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1"/>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2"/>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ned - Accent 3"/>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4"/>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ned - Accent 5"/>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6"/>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w:basedOn w:val="9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1"/>
    <w:basedOn w:val="9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2"/>
    <w:basedOn w:val="9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3"/>
    <w:basedOn w:val="9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4"/>
    <w:basedOn w:val="9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5"/>
    <w:basedOn w:val="9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6"/>
    <w:basedOn w:val="9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w:basedOn w:val="9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1"/>
    <w:basedOn w:val="9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2"/>
    <w:basedOn w:val="9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 Accent 3"/>
    <w:basedOn w:val="9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4"/>
    <w:basedOn w:val="9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 Accent 5"/>
    <w:basedOn w:val="9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6"/>
    <w:basedOn w:val="9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4">
    <w:name w:val="Heading 1"/>
    <w:basedOn w:val="903"/>
    <w:next w:val="903"/>
    <w:link w:val="854"/>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5">
    <w:name w:val="Heading 2"/>
    <w:basedOn w:val="903"/>
    <w:next w:val="903"/>
    <w:link w:val="855"/>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6">
    <w:name w:val="Heading 3"/>
    <w:basedOn w:val="903"/>
    <w:next w:val="903"/>
    <w:link w:val="856"/>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7">
    <w:name w:val="Heading 4"/>
    <w:basedOn w:val="903"/>
    <w:next w:val="903"/>
    <w:link w:val="857"/>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8">
    <w:name w:val="Heading 5"/>
    <w:basedOn w:val="903"/>
    <w:next w:val="903"/>
    <w:link w:val="858"/>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9">
    <w:name w:val="Heading 6"/>
    <w:basedOn w:val="903"/>
    <w:next w:val="903"/>
    <w:link w:val="859"/>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0">
    <w:name w:val="Heading 7"/>
    <w:basedOn w:val="903"/>
    <w:next w:val="903"/>
    <w:link w:val="86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1">
    <w:name w:val="Heading 8"/>
    <w:basedOn w:val="903"/>
    <w:next w:val="903"/>
    <w:link w:val="86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2">
    <w:name w:val="Heading 9"/>
    <w:basedOn w:val="903"/>
    <w:next w:val="903"/>
    <w:link w:val="86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3" w:default="1">
    <w:name w:val="Default Paragraph Font"/>
    <w:uiPriority w:val="1"/>
    <w:semiHidden/>
    <w:unhideWhenUsed/>
    <w:pPr>
      <w:pBdr/>
      <w:spacing/>
      <w:ind/>
    </w:pPr>
  </w:style>
  <w:style w:type="character" w:styleId="854">
    <w:name w:val="Heading 1 Char"/>
    <w:basedOn w:val="853"/>
    <w:link w:val="844"/>
    <w:uiPriority w:val="9"/>
    <w:pPr>
      <w:pBdr/>
      <w:spacing/>
      <w:ind/>
    </w:pPr>
    <w:rPr>
      <w:rFonts w:ascii="Arial" w:hAnsi="Arial" w:eastAsia="Arial" w:cs="Arial"/>
      <w:color w:val="0f4761" w:themeColor="accent1" w:themeShade="BF"/>
      <w:sz w:val="40"/>
      <w:szCs w:val="40"/>
    </w:rPr>
  </w:style>
  <w:style w:type="character" w:styleId="855">
    <w:name w:val="Heading 2 Char"/>
    <w:basedOn w:val="853"/>
    <w:link w:val="845"/>
    <w:uiPriority w:val="9"/>
    <w:pPr>
      <w:pBdr/>
      <w:spacing/>
      <w:ind/>
    </w:pPr>
    <w:rPr>
      <w:rFonts w:ascii="Arial" w:hAnsi="Arial" w:eastAsia="Arial" w:cs="Arial"/>
      <w:color w:val="0f4761" w:themeColor="accent1" w:themeShade="BF"/>
      <w:sz w:val="32"/>
      <w:szCs w:val="32"/>
    </w:rPr>
  </w:style>
  <w:style w:type="character" w:styleId="856">
    <w:name w:val="Heading 3 Char"/>
    <w:basedOn w:val="853"/>
    <w:link w:val="846"/>
    <w:uiPriority w:val="9"/>
    <w:pPr>
      <w:pBdr/>
      <w:spacing/>
      <w:ind/>
    </w:pPr>
    <w:rPr>
      <w:rFonts w:ascii="Arial" w:hAnsi="Arial" w:eastAsia="Arial" w:cs="Arial"/>
      <w:color w:val="0f4761" w:themeColor="accent1" w:themeShade="BF"/>
      <w:sz w:val="28"/>
      <w:szCs w:val="28"/>
    </w:rPr>
  </w:style>
  <w:style w:type="character" w:styleId="857">
    <w:name w:val="Heading 4 Char"/>
    <w:basedOn w:val="853"/>
    <w:link w:val="847"/>
    <w:uiPriority w:val="9"/>
    <w:pPr>
      <w:pBdr/>
      <w:spacing/>
      <w:ind/>
    </w:pPr>
    <w:rPr>
      <w:rFonts w:ascii="Arial" w:hAnsi="Arial" w:eastAsia="Arial" w:cs="Arial"/>
      <w:i/>
      <w:iCs/>
      <w:color w:val="0f4761" w:themeColor="accent1" w:themeShade="BF"/>
    </w:rPr>
  </w:style>
  <w:style w:type="character" w:styleId="858">
    <w:name w:val="Heading 5 Char"/>
    <w:basedOn w:val="853"/>
    <w:link w:val="848"/>
    <w:uiPriority w:val="9"/>
    <w:pPr>
      <w:pBdr/>
      <w:spacing/>
      <w:ind/>
    </w:pPr>
    <w:rPr>
      <w:rFonts w:ascii="Arial" w:hAnsi="Arial" w:eastAsia="Arial" w:cs="Arial"/>
      <w:color w:val="0f4761" w:themeColor="accent1" w:themeShade="BF"/>
    </w:rPr>
  </w:style>
  <w:style w:type="character" w:styleId="859">
    <w:name w:val="Heading 6 Char"/>
    <w:basedOn w:val="853"/>
    <w:link w:val="849"/>
    <w:uiPriority w:val="9"/>
    <w:pPr>
      <w:pBdr/>
      <w:spacing/>
      <w:ind/>
    </w:pPr>
    <w:rPr>
      <w:rFonts w:ascii="Arial" w:hAnsi="Arial" w:eastAsia="Arial" w:cs="Arial"/>
      <w:i/>
      <w:iCs/>
      <w:color w:val="595959" w:themeColor="text1" w:themeTint="A6"/>
    </w:rPr>
  </w:style>
  <w:style w:type="character" w:styleId="860">
    <w:name w:val="Heading 7 Char"/>
    <w:basedOn w:val="853"/>
    <w:link w:val="850"/>
    <w:uiPriority w:val="9"/>
    <w:pPr>
      <w:pBdr/>
      <w:spacing/>
      <w:ind/>
    </w:pPr>
    <w:rPr>
      <w:rFonts w:ascii="Arial" w:hAnsi="Arial" w:eastAsia="Arial" w:cs="Arial"/>
      <w:color w:val="595959" w:themeColor="text1" w:themeTint="A6"/>
    </w:rPr>
  </w:style>
  <w:style w:type="character" w:styleId="861">
    <w:name w:val="Heading 8 Char"/>
    <w:basedOn w:val="853"/>
    <w:link w:val="851"/>
    <w:uiPriority w:val="9"/>
    <w:pPr>
      <w:pBdr/>
      <w:spacing/>
      <w:ind/>
    </w:pPr>
    <w:rPr>
      <w:rFonts w:ascii="Arial" w:hAnsi="Arial" w:eastAsia="Arial" w:cs="Arial"/>
      <w:i/>
      <w:iCs/>
      <w:color w:val="272727" w:themeColor="text1" w:themeTint="D8"/>
    </w:rPr>
  </w:style>
  <w:style w:type="character" w:styleId="862">
    <w:name w:val="Heading 9 Char"/>
    <w:basedOn w:val="853"/>
    <w:link w:val="852"/>
    <w:uiPriority w:val="9"/>
    <w:pPr>
      <w:pBdr/>
      <w:spacing/>
      <w:ind/>
    </w:pPr>
    <w:rPr>
      <w:rFonts w:ascii="Arial" w:hAnsi="Arial" w:eastAsia="Arial" w:cs="Arial"/>
      <w:i/>
      <w:iCs/>
      <w:color w:val="272727" w:themeColor="text1" w:themeTint="D8"/>
    </w:rPr>
  </w:style>
  <w:style w:type="paragraph" w:styleId="863">
    <w:name w:val="Title"/>
    <w:basedOn w:val="903"/>
    <w:next w:val="903"/>
    <w:link w:val="864"/>
    <w:uiPriority w:val="10"/>
    <w:qFormat/>
    <w:pPr>
      <w:pBdr/>
      <w:spacing w:after="80" w:line="240" w:lineRule="auto"/>
      <w:ind/>
      <w:contextualSpacing w:val="true"/>
    </w:pPr>
    <w:rPr>
      <w:rFonts w:ascii="Arial" w:hAnsi="Arial" w:eastAsia="Arial" w:cs="Arial"/>
      <w:spacing w:val="-10"/>
      <w:sz w:val="56"/>
      <w:szCs w:val="56"/>
    </w:rPr>
  </w:style>
  <w:style w:type="character" w:styleId="864">
    <w:name w:val="Title Char"/>
    <w:basedOn w:val="853"/>
    <w:link w:val="863"/>
    <w:uiPriority w:val="10"/>
    <w:pPr>
      <w:pBdr/>
      <w:spacing/>
      <w:ind/>
    </w:pPr>
    <w:rPr>
      <w:rFonts w:ascii="Arial" w:hAnsi="Arial" w:eastAsia="Arial" w:cs="Arial"/>
      <w:spacing w:val="-10"/>
      <w:sz w:val="56"/>
      <w:szCs w:val="56"/>
    </w:rPr>
  </w:style>
  <w:style w:type="paragraph" w:styleId="865">
    <w:name w:val="Subtitle"/>
    <w:basedOn w:val="903"/>
    <w:next w:val="903"/>
    <w:link w:val="866"/>
    <w:uiPriority w:val="11"/>
    <w:qFormat/>
    <w:pPr>
      <w:numPr>
        <w:ilvl w:val="1"/>
      </w:numPr>
      <w:pBdr/>
      <w:spacing/>
      <w:ind/>
    </w:pPr>
    <w:rPr>
      <w:color w:val="595959" w:themeColor="text1" w:themeTint="A6"/>
      <w:spacing w:val="15"/>
      <w:sz w:val="28"/>
      <w:szCs w:val="28"/>
    </w:rPr>
  </w:style>
  <w:style w:type="character" w:styleId="866">
    <w:name w:val="Subtitle Char"/>
    <w:basedOn w:val="853"/>
    <w:link w:val="865"/>
    <w:uiPriority w:val="11"/>
    <w:pPr>
      <w:pBdr/>
      <w:spacing/>
      <w:ind/>
    </w:pPr>
    <w:rPr>
      <w:color w:val="595959" w:themeColor="text1" w:themeTint="A6"/>
      <w:spacing w:val="15"/>
      <w:sz w:val="28"/>
      <w:szCs w:val="28"/>
    </w:rPr>
  </w:style>
  <w:style w:type="paragraph" w:styleId="867">
    <w:name w:val="Quote"/>
    <w:basedOn w:val="903"/>
    <w:next w:val="903"/>
    <w:link w:val="868"/>
    <w:uiPriority w:val="29"/>
    <w:qFormat/>
    <w:pPr>
      <w:pBdr/>
      <w:spacing w:before="160"/>
      <w:ind/>
      <w:jc w:val="center"/>
    </w:pPr>
    <w:rPr>
      <w:i/>
      <w:iCs/>
      <w:color w:val="404040" w:themeColor="text1" w:themeTint="BF"/>
    </w:rPr>
  </w:style>
  <w:style w:type="character" w:styleId="868">
    <w:name w:val="Quote Char"/>
    <w:basedOn w:val="853"/>
    <w:link w:val="867"/>
    <w:uiPriority w:val="29"/>
    <w:pPr>
      <w:pBdr/>
      <w:spacing/>
      <w:ind/>
    </w:pPr>
    <w:rPr>
      <w:i/>
      <w:iCs/>
      <w:color w:val="404040" w:themeColor="text1" w:themeTint="BF"/>
    </w:rPr>
  </w:style>
  <w:style w:type="character" w:styleId="869">
    <w:name w:val="Intense Emphasis"/>
    <w:basedOn w:val="853"/>
    <w:uiPriority w:val="21"/>
    <w:qFormat/>
    <w:pPr>
      <w:pBdr/>
      <w:spacing/>
      <w:ind/>
    </w:pPr>
    <w:rPr>
      <w:i/>
      <w:iCs/>
      <w:color w:val="0f4761" w:themeColor="accent1" w:themeShade="BF"/>
    </w:rPr>
  </w:style>
  <w:style w:type="paragraph" w:styleId="870">
    <w:name w:val="Intense Quote"/>
    <w:basedOn w:val="903"/>
    <w:next w:val="903"/>
    <w:link w:val="87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1">
    <w:name w:val="Intense Quote Char"/>
    <w:basedOn w:val="853"/>
    <w:link w:val="870"/>
    <w:uiPriority w:val="30"/>
    <w:pPr>
      <w:pBdr/>
      <w:spacing/>
      <w:ind/>
    </w:pPr>
    <w:rPr>
      <w:i/>
      <w:iCs/>
      <w:color w:val="0f4761" w:themeColor="accent1" w:themeShade="BF"/>
    </w:rPr>
  </w:style>
  <w:style w:type="character" w:styleId="872">
    <w:name w:val="Intense Reference"/>
    <w:basedOn w:val="853"/>
    <w:uiPriority w:val="32"/>
    <w:qFormat/>
    <w:pPr>
      <w:pBdr/>
      <w:spacing/>
      <w:ind/>
    </w:pPr>
    <w:rPr>
      <w:b/>
      <w:bCs/>
      <w:smallCaps/>
      <w:color w:val="0f4761" w:themeColor="accent1" w:themeShade="BF"/>
      <w:spacing w:val="5"/>
    </w:rPr>
  </w:style>
  <w:style w:type="character" w:styleId="873">
    <w:name w:val="Subtle Emphasis"/>
    <w:basedOn w:val="853"/>
    <w:uiPriority w:val="19"/>
    <w:qFormat/>
    <w:pPr>
      <w:pBdr/>
      <w:spacing/>
      <w:ind/>
    </w:pPr>
    <w:rPr>
      <w:i/>
      <w:iCs/>
      <w:color w:val="404040" w:themeColor="text1" w:themeTint="BF"/>
    </w:rPr>
  </w:style>
  <w:style w:type="character" w:styleId="874">
    <w:name w:val="Emphasis"/>
    <w:basedOn w:val="853"/>
    <w:uiPriority w:val="20"/>
    <w:qFormat/>
    <w:pPr>
      <w:pBdr/>
      <w:spacing/>
      <w:ind/>
    </w:pPr>
    <w:rPr>
      <w:i/>
      <w:iCs/>
    </w:rPr>
  </w:style>
  <w:style w:type="character" w:styleId="875">
    <w:name w:val="Strong"/>
    <w:basedOn w:val="853"/>
    <w:uiPriority w:val="22"/>
    <w:qFormat/>
    <w:pPr>
      <w:pBdr/>
      <w:spacing/>
      <w:ind/>
    </w:pPr>
    <w:rPr>
      <w:b/>
      <w:bCs/>
    </w:rPr>
  </w:style>
  <w:style w:type="character" w:styleId="876">
    <w:name w:val="Subtle Reference"/>
    <w:basedOn w:val="853"/>
    <w:uiPriority w:val="31"/>
    <w:qFormat/>
    <w:pPr>
      <w:pBdr/>
      <w:spacing/>
      <w:ind/>
    </w:pPr>
    <w:rPr>
      <w:smallCaps/>
      <w:color w:val="5a5a5a" w:themeColor="text1" w:themeTint="A5"/>
    </w:rPr>
  </w:style>
  <w:style w:type="character" w:styleId="877">
    <w:name w:val="Book Title"/>
    <w:basedOn w:val="853"/>
    <w:uiPriority w:val="33"/>
    <w:qFormat/>
    <w:pPr>
      <w:pBdr/>
      <w:spacing/>
      <w:ind/>
    </w:pPr>
    <w:rPr>
      <w:b/>
      <w:bCs/>
      <w:i/>
      <w:iCs/>
      <w:spacing w:val="5"/>
    </w:rPr>
  </w:style>
  <w:style w:type="paragraph" w:styleId="878">
    <w:name w:val="Header"/>
    <w:basedOn w:val="903"/>
    <w:link w:val="879"/>
    <w:uiPriority w:val="99"/>
    <w:unhideWhenUsed/>
    <w:pPr>
      <w:pBdr/>
      <w:tabs>
        <w:tab w:val="center" w:leader="none" w:pos="4844"/>
        <w:tab w:val="right" w:leader="none" w:pos="9689"/>
      </w:tabs>
      <w:spacing w:after="0" w:line="240" w:lineRule="auto"/>
      <w:ind/>
    </w:pPr>
  </w:style>
  <w:style w:type="character" w:styleId="879">
    <w:name w:val="Header Char"/>
    <w:basedOn w:val="853"/>
    <w:link w:val="878"/>
    <w:uiPriority w:val="99"/>
    <w:pPr>
      <w:pBdr/>
      <w:spacing/>
      <w:ind/>
    </w:pPr>
  </w:style>
  <w:style w:type="paragraph" w:styleId="880">
    <w:name w:val="Footer"/>
    <w:basedOn w:val="903"/>
    <w:link w:val="881"/>
    <w:uiPriority w:val="99"/>
    <w:unhideWhenUsed/>
    <w:pPr>
      <w:pBdr/>
      <w:tabs>
        <w:tab w:val="center" w:leader="none" w:pos="4844"/>
        <w:tab w:val="right" w:leader="none" w:pos="9689"/>
      </w:tabs>
      <w:spacing w:after="0" w:line="240" w:lineRule="auto"/>
      <w:ind/>
    </w:pPr>
  </w:style>
  <w:style w:type="character" w:styleId="881">
    <w:name w:val="Footer Char"/>
    <w:basedOn w:val="853"/>
    <w:link w:val="880"/>
    <w:uiPriority w:val="99"/>
    <w:pPr>
      <w:pBdr/>
      <w:spacing/>
      <w:ind/>
    </w:pPr>
  </w:style>
  <w:style w:type="paragraph" w:styleId="882">
    <w:name w:val="Caption"/>
    <w:basedOn w:val="903"/>
    <w:next w:val="903"/>
    <w:uiPriority w:val="35"/>
    <w:unhideWhenUsed/>
    <w:qFormat/>
    <w:pPr>
      <w:pBdr/>
      <w:spacing w:after="200" w:line="240" w:lineRule="auto"/>
      <w:ind/>
    </w:pPr>
    <w:rPr>
      <w:i/>
      <w:iCs/>
      <w:color w:val="0e2841" w:themeColor="text2"/>
      <w:sz w:val="18"/>
      <w:szCs w:val="18"/>
    </w:rPr>
  </w:style>
  <w:style w:type="paragraph" w:styleId="883">
    <w:name w:val="footnote text"/>
    <w:basedOn w:val="903"/>
    <w:link w:val="884"/>
    <w:uiPriority w:val="99"/>
    <w:semiHidden/>
    <w:unhideWhenUsed/>
    <w:pPr>
      <w:pBdr/>
      <w:spacing w:after="0" w:line="240" w:lineRule="auto"/>
      <w:ind/>
    </w:pPr>
    <w:rPr>
      <w:sz w:val="20"/>
      <w:szCs w:val="20"/>
    </w:rPr>
  </w:style>
  <w:style w:type="character" w:styleId="884">
    <w:name w:val="Footnote Text Char"/>
    <w:basedOn w:val="853"/>
    <w:link w:val="883"/>
    <w:uiPriority w:val="99"/>
    <w:semiHidden/>
    <w:pPr>
      <w:pBdr/>
      <w:spacing/>
      <w:ind/>
    </w:pPr>
    <w:rPr>
      <w:sz w:val="20"/>
      <w:szCs w:val="20"/>
    </w:rPr>
  </w:style>
  <w:style w:type="character" w:styleId="885">
    <w:name w:val="footnote reference"/>
    <w:basedOn w:val="853"/>
    <w:uiPriority w:val="99"/>
    <w:semiHidden/>
    <w:unhideWhenUsed/>
    <w:pPr>
      <w:pBdr/>
      <w:spacing/>
      <w:ind/>
    </w:pPr>
    <w:rPr>
      <w:vertAlign w:val="superscript"/>
    </w:rPr>
  </w:style>
  <w:style w:type="paragraph" w:styleId="886">
    <w:name w:val="endnote text"/>
    <w:basedOn w:val="903"/>
    <w:link w:val="887"/>
    <w:uiPriority w:val="99"/>
    <w:semiHidden/>
    <w:unhideWhenUsed/>
    <w:pPr>
      <w:pBdr/>
      <w:spacing w:after="0" w:line="240" w:lineRule="auto"/>
      <w:ind/>
    </w:pPr>
    <w:rPr>
      <w:sz w:val="20"/>
      <w:szCs w:val="20"/>
    </w:rPr>
  </w:style>
  <w:style w:type="character" w:styleId="887">
    <w:name w:val="Endnote Text Char"/>
    <w:basedOn w:val="853"/>
    <w:link w:val="886"/>
    <w:uiPriority w:val="99"/>
    <w:semiHidden/>
    <w:pPr>
      <w:pBdr/>
      <w:spacing/>
      <w:ind/>
    </w:pPr>
    <w:rPr>
      <w:sz w:val="20"/>
      <w:szCs w:val="20"/>
    </w:rPr>
  </w:style>
  <w:style w:type="character" w:styleId="888">
    <w:name w:val="endnote reference"/>
    <w:basedOn w:val="853"/>
    <w:uiPriority w:val="99"/>
    <w:semiHidden/>
    <w:unhideWhenUsed/>
    <w:pPr>
      <w:pBdr/>
      <w:spacing/>
      <w:ind/>
    </w:pPr>
    <w:rPr>
      <w:vertAlign w:val="superscript"/>
    </w:rPr>
  </w:style>
  <w:style w:type="character" w:styleId="889">
    <w:name w:val="Hyperlink"/>
    <w:basedOn w:val="853"/>
    <w:uiPriority w:val="99"/>
    <w:unhideWhenUsed/>
    <w:pPr>
      <w:pBdr/>
      <w:spacing/>
      <w:ind/>
    </w:pPr>
    <w:rPr>
      <w:color w:val="0563c1" w:themeColor="hyperlink"/>
      <w:u w:val="single"/>
    </w:rPr>
  </w:style>
  <w:style w:type="character" w:styleId="890">
    <w:name w:val="FollowedHyperlink"/>
    <w:basedOn w:val="853"/>
    <w:uiPriority w:val="99"/>
    <w:semiHidden/>
    <w:unhideWhenUsed/>
    <w:pPr>
      <w:pBdr/>
      <w:spacing/>
      <w:ind/>
    </w:pPr>
    <w:rPr>
      <w:color w:val="954f72" w:themeColor="followedHyperlink"/>
      <w:u w:val="single"/>
    </w:rPr>
  </w:style>
  <w:style w:type="paragraph" w:styleId="891">
    <w:name w:val="toc 1"/>
    <w:basedOn w:val="903"/>
    <w:next w:val="903"/>
    <w:uiPriority w:val="39"/>
    <w:unhideWhenUsed/>
    <w:pPr>
      <w:pBdr/>
      <w:spacing w:after="100"/>
      <w:ind/>
    </w:pPr>
  </w:style>
  <w:style w:type="paragraph" w:styleId="892">
    <w:name w:val="toc 2"/>
    <w:basedOn w:val="903"/>
    <w:next w:val="903"/>
    <w:uiPriority w:val="39"/>
    <w:unhideWhenUsed/>
    <w:pPr>
      <w:pBdr/>
      <w:spacing w:after="100"/>
      <w:ind w:left="220"/>
    </w:pPr>
  </w:style>
  <w:style w:type="paragraph" w:styleId="893">
    <w:name w:val="toc 3"/>
    <w:basedOn w:val="903"/>
    <w:next w:val="903"/>
    <w:uiPriority w:val="39"/>
    <w:unhideWhenUsed/>
    <w:pPr>
      <w:pBdr/>
      <w:spacing w:after="100"/>
      <w:ind w:left="440"/>
    </w:pPr>
  </w:style>
  <w:style w:type="paragraph" w:styleId="894">
    <w:name w:val="toc 4"/>
    <w:basedOn w:val="903"/>
    <w:next w:val="903"/>
    <w:uiPriority w:val="39"/>
    <w:unhideWhenUsed/>
    <w:pPr>
      <w:pBdr/>
      <w:spacing w:after="100"/>
      <w:ind w:left="660"/>
    </w:pPr>
  </w:style>
  <w:style w:type="paragraph" w:styleId="895">
    <w:name w:val="toc 5"/>
    <w:basedOn w:val="903"/>
    <w:next w:val="903"/>
    <w:uiPriority w:val="39"/>
    <w:unhideWhenUsed/>
    <w:pPr>
      <w:pBdr/>
      <w:spacing w:after="100"/>
      <w:ind w:left="880"/>
    </w:pPr>
  </w:style>
  <w:style w:type="paragraph" w:styleId="896">
    <w:name w:val="toc 6"/>
    <w:basedOn w:val="903"/>
    <w:next w:val="903"/>
    <w:uiPriority w:val="39"/>
    <w:unhideWhenUsed/>
    <w:pPr>
      <w:pBdr/>
      <w:spacing w:after="100"/>
      <w:ind w:left="1100"/>
    </w:pPr>
  </w:style>
  <w:style w:type="paragraph" w:styleId="897">
    <w:name w:val="toc 7"/>
    <w:basedOn w:val="903"/>
    <w:next w:val="903"/>
    <w:uiPriority w:val="39"/>
    <w:unhideWhenUsed/>
    <w:pPr>
      <w:pBdr/>
      <w:spacing w:after="100"/>
      <w:ind w:left="1320"/>
    </w:pPr>
  </w:style>
  <w:style w:type="paragraph" w:styleId="898">
    <w:name w:val="toc 8"/>
    <w:basedOn w:val="903"/>
    <w:next w:val="903"/>
    <w:uiPriority w:val="39"/>
    <w:unhideWhenUsed/>
    <w:pPr>
      <w:pBdr/>
      <w:spacing w:after="100"/>
      <w:ind w:left="1540"/>
    </w:pPr>
  </w:style>
  <w:style w:type="paragraph" w:styleId="899">
    <w:name w:val="toc 9"/>
    <w:basedOn w:val="903"/>
    <w:next w:val="903"/>
    <w:uiPriority w:val="39"/>
    <w:unhideWhenUsed/>
    <w:pPr>
      <w:pBdr/>
      <w:spacing w:after="100"/>
      <w:ind w:left="1760"/>
    </w:pPr>
  </w:style>
  <w:style w:type="character" w:styleId="900">
    <w:name w:val="Placeholder Text"/>
    <w:basedOn w:val="853"/>
    <w:uiPriority w:val="99"/>
    <w:semiHidden/>
    <w:pPr>
      <w:pBdr/>
      <w:spacing/>
      <w:ind/>
    </w:pPr>
    <w:rPr>
      <w:color w:val="666666"/>
    </w:rPr>
  </w:style>
  <w:style w:type="paragraph" w:styleId="901">
    <w:name w:val="TOC Heading"/>
    <w:uiPriority w:val="39"/>
    <w:unhideWhenUsed/>
    <w:pPr>
      <w:pBdr/>
      <w:spacing/>
      <w:ind/>
    </w:pPr>
  </w:style>
  <w:style w:type="paragraph" w:styleId="902">
    <w:name w:val="table of figures"/>
    <w:basedOn w:val="903"/>
    <w:next w:val="903"/>
    <w:uiPriority w:val="99"/>
    <w:unhideWhenUsed/>
    <w:pPr>
      <w:pBdr/>
      <w:spacing w:after="0" w:afterAutospacing="0"/>
      <w:ind/>
    </w:pPr>
  </w:style>
  <w:style w:type="paragraph" w:styleId="903" w:default="1">
    <w:name w:val="Normal"/>
    <w:qFormat/>
    <w:pPr>
      <w:pBdr/>
      <w:spacing/>
      <w:ind/>
    </w:pPr>
  </w:style>
  <w:style w:type="table" w:styleId="9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5" w:default="1">
    <w:name w:val="No List"/>
    <w:uiPriority w:val="99"/>
    <w:semiHidden/>
    <w:unhideWhenUsed/>
    <w:pPr>
      <w:pBdr/>
      <w:spacing/>
      <w:ind/>
    </w:pPr>
  </w:style>
  <w:style w:type="paragraph" w:styleId="906">
    <w:name w:val="No Spacing"/>
    <w:basedOn w:val="903"/>
    <w:uiPriority w:val="1"/>
    <w:qFormat/>
    <w:pPr>
      <w:pBdr/>
      <w:spacing w:after="0" w:line="240" w:lineRule="auto"/>
      <w:ind/>
    </w:pPr>
  </w:style>
  <w:style w:type="paragraph" w:styleId="907">
    <w:name w:val="List Paragraph"/>
    <w:basedOn w:val="903"/>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yperlink" Target="https://www.vatican.va/content/francesco/fr/apost_exhortations/documents/papa-francesco_esortazione-ap_20160319_amoris-laetitia.html" TargetMode="External"/><Relationship Id="rId10" Type="http://schemas.openxmlformats.org/officeDocument/2006/relationships/hyperlink" Target="https://www.la-croix.com/auteur/claire-lesegretain" TargetMode="External"/><Relationship Id="rId11" Type="http://schemas.openxmlformats.org/officeDocument/2006/relationships/hyperlink" Target="https://www.la-croix.com/Religion/Actualite/Famille-l-eveque-d-Anvers-plaide-pour-un-aggiornamento-de-l-Eglise-2014-09-04-1201298"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ONLYOFFICE/9.2.0.100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2026-04-23T08:38:00Z</dcterms:modified>
</cp:coreProperties>
</file>