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F2E5DD" w14:textId="77777777" w:rsidR="00021E92" w:rsidRDefault="00021E92" w:rsidP="00E418A3">
      <w:pPr>
        <w:widowControl/>
        <w:autoSpaceDE/>
        <w:autoSpaceDN/>
        <w:spacing w:before="100" w:beforeAutospacing="1" w:after="100" w:afterAutospacing="1"/>
        <w:rPr>
          <w:b/>
          <w:bCs/>
          <w:lang w:val="fr-BE" w:eastAsia="fr-BE"/>
        </w:rPr>
      </w:pPr>
    </w:p>
    <w:p w14:paraId="0B7AF55E" w14:textId="77777777" w:rsidR="00021E92" w:rsidRDefault="00021E92" w:rsidP="00E418A3">
      <w:pPr>
        <w:widowControl/>
        <w:autoSpaceDE/>
        <w:autoSpaceDN/>
        <w:spacing w:before="100" w:beforeAutospacing="1" w:after="100" w:afterAutospacing="1"/>
        <w:rPr>
          <w:b/>
          <w:bCs/>
          <w:lang w:val="fr-BE" w:eastAsia="fr-BE"/>
        </w:rPr>
      </w:pPr>
    </w:p>
    <w:p w14:paraId="2B79E622" w14:textId="2D100E64" w:rsidR="00E418A3" w:rsidRPr="00E418A3" w:rsidRDefault="00E418A3" w:rsidP="00E418A3">
      <w:pPr>
        <w:widowControl/>
        <w:autoSpaceDE/>
        <w:autoSpaceDN/>
        <w:spacing w:before="100" w:beforeAutospacing="1" w:after="100" w:afterAutospacing="1"/>
        <w:rPr>
          <w:lang w:val="fr-BE" w:eastAsia="fr-BE"/>
        </w:rPr>
      </w:pPr>
      <w:r w:rsidRPr="00E418A3">
        <w:rPr>
          <w:b/>
          <w:bCs/>
          <w:lang w:val="fr-BE" w:eastAsia="fr-BE"/>
        </w:rPr>
        <w:t>Défi</w:t>
      </w:r>
      <w:r w:rsidR="00736E6C">
        <w:rPr>
          <w:lang w:val="fr-BE" w:eastAsia="fr-BE"/>
        </w:rPr>
        <w:t> </w:t>
      </w:r>
      <w:r w:rsidRPr="00E418A3">
        <w:rPr>
          <w:lang w:val="fr-BE" w:eastAsia="fr-BE"/>
        </w:rPr>
        <w:t xml:space="preserve">: </w:t>
      </w:r>
      <w:r w:rsidRPr="00E418A3">
        <w:rPr>
          <w:i/>
          <w:iCs/>
          <w:lang w:val="fr-BE" w:eastAsia="fr-BE"/>
        </w:rPr>
        <w:t>résumer en </w:t>
      </w:r>
      <w:r w:rsidR="005E4B3B">
        <w:rPr>
          <w:i/>
          <w:iCs/>
          <w:lang w:val="fr-BE" w:eastAsia="fr-BE"/>
        </w:rPr>
        <w:t xml:space="preserve">60-80 </w:t>
      </w:r>
      <w:r w:rsidRPr="00E418A3">
        <w:rPr>
          <w:i/>
          <w:iCs/>
          <w:lang w:val="fr-BE" w:eastAsia="fr-BE"/>
        </w:rPr>
        <w:t>mots le petit discours d</w:t>
      </w:r>
      <w:r w:rsidR="00736E6C">
        <w:rPr>
          <w:i/>
          <w:iCs/>
          <w:lang w:val="fr-BE" w:eastAsia="fr-BE"/>
        </w:rPr>
        <w:t>’</w:t>
      </w:r>
      <w:r w:rsidRPr="00E418A3">
        <w:rPr>
          <w:i/>
          <w:iCs/>
          <w:lang w:val="fr-BE" w:eastAsia="fr-BE"/>
        </w:rPr>
        <w:t>Ernest Hemingway lors de la réception de son Prix Nobel de Littérature en 1954</w:t>
      </w:r>
      <w:r w:rsidR="00736E6C">
        <w:rPr>
          <w:i/>
          <w:iCs/>
          <w:lang w:val="fr-BE" w:eastAsia="fr-BE"/>
        </w:rPr>
        <w:t> </w:t>
      </w:r>
      <w:r w:rsidRPr="00E418A3">
        <w:rPr>
          <w:i/>
          <w:iCs/>
          <w:lang w:val="fr-BE" w:eastAsia="fr-BE"/>
        </w:rPr>
        <w:t>:</w:t>
      </w:r>
    </w:p>
    <w:p w14:paraId="0E20FB1E" w14:textId="77777777" w:rsidR="00021E92" w:rsidRDefault="00021E92" w:rsidP="005E4B3B">
      <w:pPr>
        <w:widowControl/>
        <w:autoSpaceDE/>
        <w:autoSpaceDN/>
        <w:spacing w:before="100" w:beforeAutospacing="1" w:after="100" w:afterAutospacing="1"/>
        <w:ind w:left="567" w:right="567"/>
        <w:jc w:val="both"/>
        <w:rPr>
          <w:lang w:val="fr-BE" w:eastAsia="fr-BE"/>
        </w:rPr>
      </w:pPr>
    </w:p>
    <w:p w14:paraId="36BD91BC" w14:textId="77777777" w:rsidR="00021E92" w:rsidRDefault="00021E92" w:rsidP="005E4B3B">
      <w:pPr>
        <w:widowControl/>
        <w:autoSpaceDE/>
        <w:autoSpaceDN/>
        <w:spacing w:before="100" w:beforeAutospacing="1" w:after="100" w:afterAutospacing="1"/>
        <w:ind w:left="567" w:right="567"/>
        <w:jc w:val="both"/>
        <w:rPr>
          <w:lang w:val="fr-BE" w:eastAsia="fr-BE"/>
        </w:rPr>
      </w:pPr>
    </w:p>
    <w:p w14:paraId="2B3D345B" w14:textId="77777777" w:rsidR="00021E92" w:rsidRDefault="00021E92" w:rsidP="005E4B3B">
      <w:pPr>
        <w:widowControl/>
        <w:autoSpaceDE/>
        <w:autoSpaceDN/>
        <w:spacing w:before="100" w:beforeAutospacing="1" w:after="100" w:afterAutospacing="1"/>
        <w:ind w:left="567" w:right="567"/>
        <w:jc w:val="both"/>
        <w:rPr>
          <w:lang w:val="fr-BE" w:eastAsia="fr-BE"/>
        </w:rPr>
      </w:pPr>
    </w:p>
    <w:p w14:paraId="7E7E6D88" w14:textId="218CA25B" w:rsidR="00E418A3" w:rsidRPr="00E418A3" w:rsidRDefault="00E418A3" w:rsidP="005E4B3B">
      <w:pPr>
        <w:widowControl/>
        <w:autoSpaceDE/>
        <w:autoSpaceDN/>
        <w:spacing w:before="100" w:beforeAutospacing="1" w:after="100" w:afterAutospacing="1"/>
        <w:ind w:left="567" w:right="567"/>
        <w:jc w:val="both"/>
        <w:rPr>
          <w:lang w:val="fr-BE" w:eastAsia="fr-BE"/>
        </w:rPr>
      </w:pPr>
      <w:r w:rsidRPr="00E418A3">
        <w:rPr>
          <w:lang w:val="fr-BE" w:eastAsia="fr-BE"/>
        </w:rPr>
        <w:t>Messieurs les Membres de l’Académie suédoise, Mesdames, Messieurs,</w:t>
      </w:r>
    </w:p>
    <w:p w14:paraId="5375FFED" w14:textId="77777777" w:rsidR="005E4B3B" w:rsidRDefault="00E418A3" w:rsidP="005E4B3B">
      <w:pPr>
        <w:widowControl/>
        <w:autoSpaceDE/>
        <w:autoSpaceDN/>
        <w:spacing w:before="100" w:beforeAutospacing="1" w:after="100" w:afterAutospacing="1"/>
        <w:ind w:left="567" w:right="567"/>
        <w:jc w:val="both"/>
        <w:rPr>
          <w:lang w:val="fr-BE" w:eastAsia="fr-BE"/>
        </w:rPr>
      </w:pPr>
      <w:r w:rsidRPr="00E418A3">
        <w:rPr>
          <w:lang w:val="fr-BE" w:eastAsia="fr-BE"/>
        </w:rPr>
        <w:t>Comme je n’ai aucune facilité pour faire des discours, ni le don de l’éloquence, ni le sens de la rhétorique, je désire simplement remercier de ce prix ceux qui gèrent la donation généreuse d’Alfred Nobel.</w:t>
      </w:r>
    </w:p>
    <w:p w14:paraId="4A82A6F6" w14:textId="77777777" w:rsidR="005E4B3B" w:rsidRDefault="00E418A3" w:rsidP="005E4B3B">
      <w:pPr>
        <w:widowControl/>
        <w:autoSpaceDE/>
        <w:autoSpaceDN/>
        <w:spacing w:before="100" w:beforeAutospacing="1" w:after="100" w:afterAutospacing="1"/>
        <w:ind w:left="567" w:right="567"/>
        <w:jc w:val="both"/>
        <w:rPr>
          <w:lang w:val="fr-BE" w:eastAsia="fr-BE"/>
        </w:rPr>
      </w:pPr>
      <w:r w:rsidRPr="00E418A3">
        <w:rPr>
          <w:lang w:val="fr-BE" w:eastAsia="fr-BE"/>
        </w:rPr>
        <w:t>Tout écrivain, sachant quels grands écrivains n’ont pas reçu ce prix, ne peut l’accepter qu’avec humilité. Il est inutile de dresser la liste de ces écrivains. Chacun des assistants peut dresser sa propre liste selon ses connaissances et sa conscience. Je ne saurais demander à l’ambassadeur de mon pays de lire un discours dans lequel un écrivain dirait tout ce qui est dans son cœur. Ce qu’un homme veut dire n’est pas toujours immédiatement perceptible dans ce qu’il écrit et, pour ce qui est de cela, il a quelquefois de la chance ; mais, à la fin, ce qu’il veut dire deviendra tout à fait clair et c’est cela, et le degré d’alchimie qu’il possède, qui déterminera s’il durera ou sera oublié.</w:t>
      </w:r>
    </w:p>
    <w:p w14:paraId="79D08824" w14:textId="77777777" w:rsidR="005E4B3B" w:rsidRDefault="00E418A3" w:rsidP="005E4B3B">
      <w:pPr>
        <w:widowControl/>
        <w:autoSpaceDE/>
        <w:autoSpaceDN/>
        <w:spacing w:before="100" w:beforeAutospacing="1" w:after="100" w:afterAutospacing="1"/>
        <w:ind w:left="567" w:right="567"/>
        <w:jc w:val="both"/>
        <w:rPr>
          <w:lang w:val="fr-BE" w:eastAsia="fr-BE"/>
        </w:rPr>
      </w:pPr>
      <w:r w:rsidRPr="00E418A3">
        <w:rPr>
          <w:lang w:val="fr-BE" w:eastAsia="fr-BE"/>
        </w:rPr>
        <w:t>La vie d’un écrivain, en mettant les choses au mieux, est une vie solitaire. Les groupements d’écrivains pallient la solitude, mais je doute qu’ils améliorent son style. Son importance grandit aux yeux du public lorsqu’il renonce à sa solitude, mais souvent son œuvre en souffre.</w:t>
      </w:r>
      <w:r w:rsidRPr="00E418A3">
        <w:rPr>
          <w:lang w:val="fr-BE" w:eastAsia="fr-BE"/>
        </w:rPr>
        <w:br/>
      </w:r>
      <w:r w:rsidRPr="00E418A3">
        <w:rPr>
          <w:lang w:val="fr-BE" w:eastAsia="fr-BE"/>
        </w:rPr>
        <w:br/>
        <w:t>Car il œuvre dans la solitude et, s’il est assez bon écrivain pour cela, il doit chaque jour affronter l’éternité, ou son absence.</w:t>
      </w:r>
      <w:bookmarkStart w:id="0" w:name="_GoBack"/>
      <w:bookmarkEnd w:id="0"/>
    </w:p>
    <w:p w14:paraId="2C10C5CC" w14:textId="77777777" w:rsidR="005E4B3B" w:rsidRDefault="00E418A3" w:rsidP="005E4B3B">
      <w:pPr>
        <w:widowControl/>
        <w:autoSpaceDE/>
        <w:autoSpaceDN/>
        <w:spacing w:before="100" w:beforeAutospacing="1" w:after="100" w:afterAutospacing="1"/>
        <w:ind w:left="567" w:right="567"/>
        <w:jc w:val="both"/>
        <w:rPr>
          <w:lang w:val="fr-BE" w:eastAsia="fr-BE"/>
        </w:rPr>
      </w:pPr>
      <w:r w:rsidRPr="00E418A3">
        <w:rPr>
          <w:lang w:val="fr-BE" w:eastAsia="fr-BE"/>
        </w:rPr>
        <w:t>Chacun de ses livres devrait être, pour un véritable écrivain, un nouveau commencement, un départ une fois de plus vers quelque chose qui est hors d’atteinte. Il devrait toujours essayer de faire quelque chose qui n’a jamais encore été fait, ou que d’autres ont essayé de faire, mais en vain. Alors, quelquefois, avec beaucoup de chance, il réussira.</w:t>
      </w:r>
    </w:p>
    <w:p w14:paraId="533CE9AD" w14:textId="1EC767B9" w:rsidR="00021E92" w:rsidRDefault="00E418A3" w:rsidP="005E4B3B">
      <w:pPr>
        <w:widowControl/>
        <w:autoSpaceDE/>
        <w:autoSpaceDN/>
        <w:spacing w:before="100" w:beforeAutospacing="1" w:after="100" w:afterAutospacing="1"/>
        <w:ind w:left="567" w:right="567"/>
        <w:jc w:val="both"/>
        <w:rPr>
          <w:lang w:val="fr-BE" w:eastAsia="fr-BE"/>
        </w:rPr>
      </w:pPr>
      <w:r w:rsidRPr="00E418A3">
        <w:rPr>
          <w:lang w:val="fr-BE" w:eastAsia="fr-BE"/>
        </w:rPr>
        <w:t>Comme il serait simple d’écrire s’il fallait seulement écrire autrement ce qui a déjà été bien écrit. C’est parce que nous avons eu de si grands écrivains dans le passé qu’un écrivain est maintenant obligé d’aller très loin par-delà l’endroit qu’il peut normalement atteindre, là où personne ne peut plus l’aider.</w:t>
      </w:r>
      <w:r w:rsidR="00021E92">
        <w:rPr>
          <w:lang w:val="fr-BE" w:eastAsia="fr-BE"/>
        </w:rPr>
        <w:br w:type="page"/>
      </w:r>
    </w:p>
    <w:p w14:paraId="62E2ED09" w14:textId="77777777" w:rsidR="00E418A3" w:rsidRPr="00E418A3" w:rsidRDefault="00E418A3" w:rsidP="005E4B3B">
      <w:pPr>
        <w:widowControl/>
        <w:autoSpaceDE/>
        <w:autoSpaceDN/>
        <w:spacing w:before="100" w:beforeAutospacing="1" w:after="100" w:afterAutospacing="1"/>
        <w:ind w:left="567" w:right="567"/>
        <w:jc w:val="both"/>
        <w:rPr>
          <w:lang w:val="fr-BE" w:eastAsia="fr-BE"/>
        </w:rPr>
      </w:pPr>
    </w:p>
    <w:p w14:paraId="64F861D8" w14:textId="6ED0458B" w:rsidR="00103E22" w:rsidRDefault="00103E22" w:rsidP="00103E22">
      <w:pPr>
        <w:spacing w:before="79"/>
        <w:ind w:left="463"/>
        <w:jc w:val="center"/>
        <w:rPr>
          <w:b/>
          <w:sz w:val="32"/>
        </w:rPr>
      </w:pPr>
      <w:r>
        <w:rPr>
          <w:b/>
          <w:sz w:val="32"/>
        </w:rPr>
        <w:t xml:space="preserve">Résumé de </w:t>
      </w:r>
      <w:proofErr w:type="spellStart"/>
      <w:r>
        <w:rPr>
          <w:b/>
          <w:sz w:val="32"/>
        </w:rPr>
        <w:t>texte</w:t>
      </w:r>
      <w:proofErr w:type="spellEnd"/>
    </w:p>
    <w:p w14:paraId="27CE8053" w14:textId="77777777" w:rsidR="00103E22" w:rsidRDefault="00103E22" w:rsidP="00103E22">
      <w:pPr>
        <w:pStyle w:val="Corpsdetexte"/>
        <w:spacing w:before="3"/>
        <w:ind w:left="0"/>
        <w:rPr>
          <w:b/>
          <w:sz w:val="20"/>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070"/>
        <w:gridCol w:w="3072"/>
        <w:gridCol w:w="3130"/>
      </w:tblGrid>
      <w:tr w:rsidR="00103E22" w14:paraId="38D08870" w14:textId="77777777" w:rsidTr="00D36A7B">
        <w:trPr>
          <w:trHeight w:val="577"/>
        </w:trPr>
        <w:tc>
          <w:tcPr>
            <w:tcW w:w="3070" w:type="dxa"/>
            <w:tcBorders>
              <w:left w:val="single" w:sz="4" w:space="0" w:color="000000"/>
              <w:right w:val="single" w:sz="4" w:space="0" w:color="000000"/>
            </w:tcBorders>
          </w:tcPr>
          <w:p w14:paraId="381DB65C" w14:textId="77777777" w:rsidR="00103E22" w:rsidRDefault="00103E22" w:rsidP="00D36A7B">
            <w:pPr>
              <w:pStyle w:val="TableParagraph"/>
              <w:spacing w:line="284" w:lineRule="exact"/>
              <w:ind w:left="69"/>
              <w:rPr>
                <w:b/>
                <w:sz w:val="26"/>
              </w:rPr>
            </w:pPr>
            <w:proofErr w:type="spellStart"/>
            <w:r>
              <w:rPr>
                <w:b/>
                <w:sz w:val="26"/>
              </w:rPr>
              <w:t>Critères</w:t>
            </w:r>
            <w:proofErr w:type="spellEnd"/>
          </w:p>
        </w:tc>
        <w:tc>
          <w:tcPr>
            <w:tcW w:w="3072" w:type="dxa"/>
            <w:tcBorders>
              <w:left w:val="single" w:sz="4" w:space="0" w:color="000000"/>
              <w:right w:val="single" w:sz="4" w:space="0" w:color="000000"/>
            </w:tcBorders>
          </w:tcPr>
          <w:p w14:paraId="66E9C8D4" w14:textId="77777777" w:rsidR="00103E22" w:rsidRDefault="00103E22" w:rsidP="00D36A7B">
            <w:pPr>
              <w:pStyle w:val="TableParagraph"/>
              <w:spacing w:line="284" w:lineRule="exact"/>
              <w:ind w:left="73"/>
              <w:rPr>
                <w:b/>
                <w:sz w:val="26"/>
              </w:rPr>
            </w:pPr>
            <w:proofErr w:type="spellStart"/>
            <w:r>
              <w:rPr>
                <w:b/>
                <w:sz w:val="26"/>
              </w:rPr>
              <w:t>Indicateurs</w:t>
            </w:r>
            <w:proofErr w:type="spellEnd"/>
          </w:p>
        </w:tc>
        <w:tc>
          <w:tcPr>
            <w:tcW w:w="3130" w:type="dxa"/>
            <w:tcBorders>
              <w:left w:val="single" w:sz="4" w:space="0" w:color="000000"/>
              <w:right w:val="single" w:sz="4" w:space="0" w:color="000000"/>
            </w:tcBorders>
          </w:tcPr>
          <w:p w14:paraId="31CA4BF3" w14:textId="77777777" w:rsidR="00103E22" w:rsidRDefault="00103E22" w:rsidP="00D36A7B">
            <w:pPr>
              <w:pStyle w:val="TableParagraph"/>
              <w:spacing w:line="284" w:lineRule="exact"/>
              <w:ind w:left="71"/>
              <w:rPr>
                <w:b/>
                <w:sz w:val="26"/>
              </w:rPr>
            </w:pPr>
            <w:proofErr w:type="spellStart"/>
            <w:r>
              <w:rPr>
                <w:b/>
                <w:sz w:val="26"/>
              </w:rPr>
              <w:t>Évaluation</w:t>
            </w:r>
            <w:proofErr w:type="spellEnd"/>
          </w:p>
        </w:tc>
      </w:tr>
      <w:tr w:rsidR="00103E22" w14:paraId="676FEE22" w14:textId="77777777" w:rsidTr="00D36A7B">
        <w:trPr>
          <w:trHeight w:val="740"/>
        </w:trPr>
        <w:tc>
          <w:tcPr>
            <w:tcW w:w="3070" w:type="dxa"/>
            <w:tcBorders>
              <w:left w:val="single" w:sz="4" w:space="0" w:color="000000"/>
              <w:right w:val="single" w:sz="4" w:space="0" w:color="000000"/>
            </w:tcBorders>
          </w:tcPr>
          <w:p w14:paraId="330EFE64" w14:textId="77777777" w:rsidR="00103E22" w:rsidRDefault="00103E22" w:rsidP="00D36A7B">
            <w:pPr>
              <w:pStyle w:val="TableParagraph"/>
              <w:spacing w:line="284" w:lineRule="exact"/>
              <w:ind w:left="69"/>
              <w:rPr>
                <w:b/>
                <w:sz w:val="26"/>
              </w:rPr>
            </w:pPr>
            <w:r>
              <w:rPr>
                <w:b/>
                <w:sz w:val="26"/>
              </w:rPr>
              <w:t>Structure</w:t>
            </w:r>
          </w:p>
        </w:tc>
        <w:tc>
          <w:tcPr>
            <w:tcW w:w="3072" w:type="dxa"/>
            <w:tcBorders>
              <w:left w:val="single" w:sz="4" w:space="0" w:color="000000"/>
              <w:right w:val="single" w:sz="4" w:space="0" w:color="000000"/>
            </w:tcBorders>
          </w:tcPr>
          <w:p w14:paraId="614203AA" w14:textId="77777777" w:rsidR="00103E22" w:rsidRDefault="00103E22" w:rsidP="00D36A7B">
            <w:pPr>
              <w:pStyle w:val="TableParagraph"/>
              <w:numPr>
                <w:ilvl w:val="0"/>
                <w:numId w:val="3"/>
              </w:numPr>
              <w:tabs>
                <w:tab w:val="left" w:pos="433"/>
                <w:tab w:val="left" w:pos="434"/>
              </w:tabs>
              <w:spacing w:line="242" w:lineRule="exact"/>
            </w:pPr>
            <w:r>
              <w:t xml:space="preserve">Division </w:t>
            </w:r>
            <w:proofErr w:type="spellStart"/>
            <w:r>
              <w:t>en</w:t>
            </w:r>
            <w:proofErr w:type="spellEnd"/>
            <w:r>
              <w:t xml:space="preserve"> </w:t>
            </w:r>
            <w:proofErr w:type="spellStart"/>
            <w:r>
              <w:t>paragraphes</w:t>
            </w:r>
            <w:proofErr w:type="spellEnd"/>
            <w:r>
              <w:rPr>
                <w:spacing w:val="-5"/>
              </w:rPr>
              <w:t xml:space="preserve"> </w:t>
            </w:r>
            <w:proofErr w:type="spellStart"/>
            <w:r>
              <w:t>si</w:t>
            </w:r>
            <w:proofErr w:type="spellEnd"/>
          </w:p>
          <w:p w14:paraId="3C937995" w14:textId="77777777" w:rsidR="00103E22" w:rsidRDefault="00103E22" w:rsidP="00D36A7B">
            <w:pPr>
              <w:pStyle w:val="TableParagraph"/>
              <w:spacing w:before="157"/>
            </w:pPr>
            <w:proofErr w:type="spellStart"/>
            <w:r>
              <w:t>nécessaire</w:t>
            </w:r>
            <w:proofErr w:type="spellEnd"/>
          </w:p>
        </w:tc>
        <w:tc>
          <w:tcPr>
            <w:tcW w:w="3130" w:type="dxa"/>
            <w:tcBorders>
              <w:left w:val="single" w:sz="4" w:space="0" w:color="000000"/>
              <w:right w:val="single" w:sz="4" w:space="0" w:color="000000"/>
            </w:tcBorders>
          </w:tcPr>
          <w:p w14:paraId="00AC2765" w14:textId="77777777" w:rsidR="00103E22" w:rsidRDefault="00103E22" w:rsidP="00D36A7B">
            <w:pPr>
              <w:pStyle w:val="TableParagraph"/>
              <w:ind w:left="0"/>
            </w:pPr>
          </w:p>
        </w:tc>
      </w:tr>
      <w:tr w:rsidR="00103E22" w:rsidRPr="000F1239" w14:paraId="78E5C705" w14:textId="77777777" w:rsidTr="00D36A7B">
        <w:trPr>
          <w:trHeight w:val="4549"/>
        </w:trPr>
        <w:tc>
          <w:tcPr>
            <w:tcW w:w="3070" w:type="dxa"/>
            <w:tcBorders>
              <w:left w:val="single" w:sz="4" w:space="0" w:color="000000"/>
              <w:right w:val="single" w:sz="4" w:space="0" w:color="000000"/>
            </w:tcBorders>
          </w:tcPr>
          <w:p w14:paraId="4C0F8124" w14:textId="77777777" w:rsidR="00103E22" w:rsidRDefault="00103E22" w:rsidP="00D36A7B">
            <w:pPr>
              <w:pStyle w:val="TableParagraph"/>
              <w:spacing w:line="284" w:lineRule="exact"/>
              <w:ind w:left="69"/>
              <w:rPr>
                <w:b/>
                <w:sz w:val="26"/>
              </w:rPr>
            </w:pPr>
            <w:r>
              <w:rPr>
                <w:b/>
                <w:sz w:val="26"/>
              </w:rPr>
              <w:t xml:space="preserve">Respect du </w:t>
            </w:r>
            <w:proofErr w:type="gramStart"/>
            <w:r>
              <w:rPr>
                <w:b/>
                <w:sz w:val="26"/>
              </w:rPr>
              <w:t>genre :</w:t>
            </w:r>
            <w:proofErr w:type="gramEnd"/>
          </w:p>
        </w:tc>
        <w:tc>
          <w:tcPr>
            <w:tcW w:w="3072" w:type="dxa"/>
            <w:tcBorders>
              <w:left w:val="single" w:sz="4" w:space="0" w:color="000000"/>
              <w:right w:val="single" w:sz="4" w:space="0" w:color="000000"/>
            </w:tcBorders>
          </w:tcPr>
          <w:p w14:paraId="09DA31E0" w14:textId="77777777" w:rsidR="00103E22" w:rsidRDefault="00103E22" w:rsidP="00103E22">
            <w:pPr>
              <w:pStyle w:val="TableParagraph"/>
              <w:numPr>
                <w:ilvl w:val="0"/>
                <w:numId w:val="2"/>
              </w:numPr>
              <w:tabs>
                <w:tab w:val="left" w:pos="433"/>
                <w:tab w:val="left" w:pos="434"/>
              </w:tabs>
              <w:spacing w:line="239" w:lineRule="exact"/>
              <w:rPr>
                <w:lang w:val="fr-BE"/>
              </w:rPr>
            </w:pPr>
            <w:r w:rsidRPr="00103E22">
              <w:rPr>
                <w:lang w:val="fr-BE"/>
              </w:rPr>
              <w:t>Respect de la longueur</w:t>
            </w:r>
            <w:r w:rsidRPr="00103E22">
              <w:rPr>
                <w:spacing w:val="-4"/>
                <w:lang w:val="fr-BE"/>
              </w:rPr>
              <w:t xml:space="preserve"> </w:t>
            </w:r>
            <w:r w:rsidRPr="00103E22">
              <w:rPr>
                <w:lang w:val="fr-BE"/>
              </w:rPr>
              <w:t>(le</w:t>
            </w:r>
            <w:r w:rsidRPr="00103E22">
              <w:rPr>
                <w:lang w:val="fr-BE"/>
              </w:rPr>
              <w:br/>
              <w:t>cinquième avec une marge de 10</w:t>
            </w:r>
            <w:r>
              <w:rPr>
                <w:lang w:val="fr-BE"/>
              </w:rPr>
              <w:t> %</w:t>
            </w:r>
            <w:r w:rsidRPr="00103E22">
              <w:rPr>
                <w:lang w:val="fr-BE"/>
              </w:rPr>
              <w:t>)</w:t>
            </w:r>
          </w:p>
          <w:p w14:paraId="12B81227" w14:textId="77777777" w:rsidR="00103E22" w:rsidRPr="00103E22" w:rsidRDefault="00103E22" w:rsidP="00103E22">
            <w:pPr>
              <w:pStyle w:val="TableParagraph"/>
              <w:tabs>
                <w:tab w:val="left" w:pos="433"/>
                <w:tab w:val="left" w:pos="434"/>
              </w:tabs>
              <w:spacing w:line="239" w:lineRule="exact"/>
              <w:rPr>
                <w:lang w:val="fr-BE"/>
              </w:rPr>
            </w:pPr>
          </w:p>
          <w:p w14:paraId="3A9D295A" w14:textId="77777777" w:rsidR="00103E22" w:rsidRPr="00E4243B" w:rsidRDefault="00103E22" w:rsidP="00D36A7B">
            <w:pPr>
              <w:pStyle w:val="TableParagraph"/>
              <w:numPr>
                <w:ilvl w:val="0"/>
                <w:numId w:val="2"/>
              </w:numPr>
              <w:tabs>
                <w:tab w:val="left" w:pos="433"/>
                <w:tab w:val="left" w:pos="434"/>
              </w:tabs>
              <w:spacing w:before="2" w:line="259" w:lineRule="auto"/>
              <w:ind w:right="521"/>
              <w:rPr>
                <w:lang w:val="fr-BE"/>
              </w:rPr>
            </w:pPr>
            <w:r w:rsidRPr="00E4243B">
              <w:rPr>
                <w:lang w:val="fr-BE"/>
              </w:rPr>
              <w:t>Fidélité au texte (pas de contresens, pas</w:t>
            </w:r>
            <w:r w:rsidRPr="00E4243B">
              <w:rPr>
                <w:spacing w:val="-4"/>
                <w:lang w:val="fr-BE"/>
              </w:rPr>
              <w:t xml:space="preserve"> </w:t>
            </w:r>
            <w:r w:rsidRPr="00E4243B">
              <w:rPr>
                <w:lang w:val="fr-BE"/>
              </w:rPr>
              <w:t>d</w:t>
            </w:r>
            <w:r>
              <w:rPr>
                <w:lang w:val="fr-BE"/>
              </w:rPr>
              <w:t>’</w:t>
            </w:r>
            <w:r w:rsidRPr="00E4243B">
              <w:rPr>
                <w:lang w:val="fr-BE"/>
              </w:rPr>
              <w:t>ajout)</w:t>
            </w:r>
          </w:p>
          <w:p w14:paraId="3A482A9A" w14:textId="77777777" w:rsidR="00103E22" w:rsidRPr="00E4243B" w:rsidRDefault="00103E22" w:rsidP="00D36A7B">
            <w:pPr>
              <w:pStyle w:val="TableParagraph"/>
              <w:numPr>
                <w:ilvl w:val="0"/>
                <w:numId w:val="2"/>
              </w:numPr>
              <w:tabs>
                <w:tab w:val="left" w:pos="433"/>
                <w:tab w:val="left" w:pos="434"/>
              </w:tabs>
              <w:spacing w:before="160" w:line="259" w:lineRule="auto"/>
              <w:ind w:right="183"/>
              <w:rPr>
                <w:lang w:val="fr-BE"/>
              </w:rPr>
            </w:pPr>
            <w:r w:rsidRPr="00E4243B">
              <w:rPr>
                <w:lang w:val="fr-BE"/>
              </w:rPr>
              <w:t>Se centrer sur l</w:t>
            </w:r>
            <w:r>
              <w:rPr>
                <w:lang w:val="fr-BE"/>
              </w:rPr>
              <w:t>’</w:t>
            </w:r>
            <w:r w:rsidRPr="00E4243B">
              <w:rPr>
                <w:lang w:val="fr-BE"/>
              </w:rPr>
              <w:t>essentiel, ne rien oublier</w:t>
            </w:r>
            <w:r w:rsidRPr="00E4243B">
              <w:rPr>
                <w:spacing w:val="-3"/>
                <w:lang w:val="fr-BE"/>
              </w:rPr>
              <w:t xml:space="preserve"> </w:t>
            </w:r>
            <w:r w:rsidRPr="00E4243B">
              <w:rPr>
                <w:lang w:val="fr-BE"/>
              </w:rPr>
              <w:t>d</w:t>
            </w:r>
            <w:r>
              <w:rPr>
                <w:lang w:val="fr-BE"/>
              </w:rPr>
              <w:t>’</w:t>
            </w:r>
            <w:r w:rsidRPr="00E4243B">
              <w:rPr>
                <w:lang w:val="fr-BE"/>
              </w:rPr>
              <w:t>important</w:t>
            </w:r>
          </w:p>
          <w:p w14:paraId="7D9725AA" w14:textId="77777777" w:rsidR="00103E22" w:rsidRPr="00E4243B" w:rsidRDefault="00103E22" w:rsidP="00D36A7B">
            <w:pPr>
              <w:pStyle w:val="TableParagraph"/>
              <w:numPr>
                <w:ilvl w:val="0"/>
                <w:numId w:val="2"/>
              </w:numPr>
              <w:tabs>
                <w:tab w:val="left" w:pos="433"/>
                <w:tab w:val="left" w:pos="434"/>
              </w:tabs>
              <w:spacing w:before="159" w:line="259" w:lineRule="auto"/>
              <w:ind w:right="113"/>
              <w:rPr>
                <w:lang w:val="fr-BE"/>
              </w:rPr>
            </w:pPr>
            <w:r w:rsidRPr="00E4243B">
              <w:rPr>
                <w:lang w:val="fr-BE"/>
              </w:rPr>
              <w:t>Reformuler avec ses propres mots</w:t>
            </w:r>
            <w:r>
              <w:rPr>
                <w:lang w:val="fr-BE"/>
              </w:rPr>
              <w:t> </w:t>
            </w:r>
            <w:r w:rsidRPr="00E4243B">
              <w:rPr>
                <w:lang w:val="fr-BE"/>
              </w:rPr>
              <w:t>; «</w:t>
            </w:r>
            <w:r>
              <w:rPr>
                <w:lang w:val="fr-BE"/>
              </w:rPr>
              <w:t> </w:t>
            </w:r>
            <w:r w:rsidRPr="00E4243B">
              <w:rPr>
                <w:lang w:val="fr-BE"/>
              </w:rPr>
              <w:t>guillemets en cas de citation d</w:t>
            </w:r>
            <w:r>
              <w:rPr>
                <w:lang w:val="fr-BE"/>
              </w:rPr>
              <w:t>’</w:t>
            </w:r>
            <w:r w:rsidRPr="00E4243B">
              <w:rPr>
                <w:lang w:val="fr-BE"/>
              </w:rPr>
              <w:t>une formule importante du texte</w:t>
            </w:r>
            <w:r>
              <w:rPr>
                <w:spacing w:val="-10"/>
                <w:lang w:val="fr-BE"/>
              </w:rPr>
              <w:t> </w:t>
            </w:r>
            <w:r w:rsidRPr="00E4243B">
              <w:rPr>
                <w:lang w:val="fr-BE"/>
              </w:rPr>
              <w:t>»</w:t>
            </w:r>
          </w:p>
          <w:p w14:paraId="2A8CF527" w14:textId="77777777" w:rsidR="00103E22" w:rsidRPr="00E4243B" w:rsidRDefault="00103E22" w:rsidP="00D36A7B">
            <w:pPr>
              <w:pStyle w:val="TableParagraph"/>
              <w:numPr>
                <w:ilvl w:val="0"/>
                <w:numId w:val="2"/>
              </w:numPr>
              <w:tabs>
                <w:tab w:val="left" w:pos="433"/>
                <w:tab w:val="left" w:pos="434"/>
              </w:tabs>
              <w:spacing w:before="160" w:line="259" w:lineRule="auto"/>
              <w:ind w:right="101"/>
              <w:rPr>
                <w:lang w:val="fr-BE"/>
              </w:rPr>
            </w:pPr>
            <w:r w:rsidRPr="00E4243B">
              <w:rPr>
                <w:lang w:val="fr-BE"/>
              </w:rPr>
              <w:t>Résumé complet et équilibré (ne pas oublier la fin ou expédier la</w:t>
            </w:r>
            <w:r w:rsidRPr="00E4243B">
              <w:rPr>
                <w:spacing w:val="-4"/>
                <w:lang w:val="fr-BE"/>
              </w:rPr>
              <w:t xml:space="preserve"> </w:t>
            </w:r>
            <w:r w:rsidRPr="00E4243B">
              <w:rPr>
                <w:lang w:val="fr-BE"/>
              </w:rPr>
              <w:t>fin)</w:t>
            </w:r>
          </w:p>
        </w:tc>
        <w:tc>
          <w:tcPr>
            <w:tcW w:w="3130" w:type="dxa"/>
            <w:tcBorders>
              <w:left w:val="single" w:sz="4" w:space="0" w:color="000000"/>
              <w:right w:val="single" w:sz="4" w:space="0" w:color="000000"/>
            </w:tcBorders>
          </w:tcPr>
          <w:p w14:paraId="7CA59F86" w14:textId="77777777" w:rsidR="00103E22" w:rsidRPr="00E4243B" w:rsidRDefault="00103E22" w:rsidP="00D36A7B">
            <w:pPr>
              <w:pStyle w:val="TableParagraph"/>
              <w:ind w:left="0"/>
              <w:rPr>
                <w:lang w:val="fr-BE"/>
              </w:rPr>
            </w:pPr>
          </w:p>
        </w:tc>
      </w:tr>
      <w:tr w:rsidR="00103E22" w14:paraId="6C62894B" w14:textId="77777777" w:rsidTr="00D36A7B">
        <w:trPr>
          <w:trHeight w:val="1912"/>
        </w:trPr>
        <w:tc>
          <w:tcPr>
            <w:tcW w:w="3070" w:type="dxa"/>
            <w:tcBorders>
              <w:left w:val="single" w:sz="4" w:space="0" w:color="000000"/>
              <w:right w:val="single" w:sz="4" w:space="0" w:color="000000"/>
            </w:tcBorders>
          </w:tcPr>
          <w:p w14:paraId="22110806" w14:textId="77777777" w:rsidR="00103E22" w:rsidRDefault="00103E22" w:rsidP="00D36A7B">
            <w:pPr>
              <w:pStyle w:val="TableParagraph"/>
              <w:spacing w:line="284" w:lineRule="exact"/>
              <w:ind w:left="69"/>
              <w:rPr>
                <w:b/>
                <w:sz w:val="26"/>
              </w:rPr>
            </w:pPr>
            <w:r>
              <w:rPr>
                <w:b/>
                <w:sz w:val="26"/>
              </w:rPr>
              <w:t>Expression</w:t>
            </w:r>
          </w:p>
        </w:tc>
        <w:tc>
          <w:tcPr>
            <w:tcW w:w="3072" w:type="dxa"/>
            <w:tcBorders>
              <w:left w:val="single" w:sz="4" w:space="0" w:color="000000"/>
              <w:right w:val="single" w:sz="4" w:space="0" w:color="000000"/>
            </w:tcBorders>
          </w:tcPr>
          <w:p w14:paraId="026D95BE" w14:textId="77777777" w:rsidR="00103E22" w:rsidRDefault="00103E22" w:rsidP="00103E22">
            <w:pPr>
              <w:pStyle w:val="TableParagraph"/>
              <w:numPr>
                <w:ilvl w:val="0"/>
                <w:numId w:val="1"/>
              </w:numPr>
              <w:tabs>
                <w:tab w:val="left" w:pos="793"/>
                <w:tab w:val="left" w:pos="794"/>
              </w:tabs>
              <w:spacing w:line="240" w:lineRule="exact"/>
            </w:pPr>
            <w:proofErr w:type="spellStart"/>
            <w:r>
              <w:t>Syntaxe</w:t>
            </w:r>
            <w:proofErr w:type="spellEnd"/>
            <w:r>
              <w:t xml:space="preserve"> et</w:t>
            </w:r>
            <w:r>
              <w:rPr>
                <w:spacing w:val="-1"/>
              </w:rPr>
              <w:t xml:space="preserve"> </w:t>
            </w:r>
            <w:proofErr w:type="spellStart"/>
            <w:r>
              <w:t>ponctuation</w:t>
            </w:r>
            <w:proofErr w:type="spellEnd"/>
            <w:r>
              <w:br/>
            </w:r>
            <w:proofErr w:type="spellStart"/>
            <w:r>
              <w:t>correctes</w:t>
            </w:r>
            <w:proofErr w:type="spellEnd"/>
          </w:p>
          <w:p w14:paraId="4116390B" w14:textId="77777777" w:rsidR="00103E22" w:rsidRDefault="00103E22" w:rsidP="00103E22">
            <w:pPr>
              <w:pStyle w:val="TableParagraph"/>
              <w:tabs>
                <w:tab w:val="left" w:pos="793"/>
                <w:tab w:val="left" w:pos="794"/>
              </w:tabs>
              <w:spacing w:line="240" w:lineRule="exact"/>
              <w:ind w:left="793"/>
            </w:pPr>
          </w:p>
          <w:p w14:paraId="0C973C7C" w14:textId="77777777" w:rsidR="00103E22" w:rsidRDefault="00103E22" w:rsidP="00D36A7B">
            <w:pPr>
              <w:pStyle w:val="TableParagraph"/>
              <w:numPr>
                <w:ilvl w:val="0"/>
                <w:numId w:val="1"/>
              </w:numPr>
              <w:tabs>
                <w:tab w:val="left" w:pos="793"/>
                <w:tab w:val="left" w:pos="795"/>
              </w:tabs>
              <w:spacing w:line="262" w:lineRule="exact"/>
              <w:ind w:left="794" w:hanging="361"/>
            </w:pPr>
            <w:proofErr w:type="spellStart"/>
            <w:r>
              <w:rPr>
                <w:spacing w:val="-4"/>
              </w:rPr>
              <w:t>Vocabulaire</w:t>
            </w:r>
            <w:proofErr w:type="spellEnd"/>
            <w:r>
              <w:rPr>
                <w:spacing w:val="-2"/>
              </w:rPr>
              <w:t xml:space="preserve"> </w:t>
            </w:r>
            <w:r>
              <w:t>correct</w:t>
            </w:r>
          </w:p>
          <w:p w14:paraId="20F8113A" w14:textId="77777777" w:rsidR="00103E22" w:rsidRDefault="00103E22" w:rsidP="00D36A7B">
            <w:pPr>
              <w:pStyle w:val="TableParagraph"/>
              <w:numPr>
                <w:ilvl w:val="0"/>
                <w:numId w:val="1"/>
              </w:numPr>
              <w:tabs>
                <w:tab w:val="left" w:pos="793"/>
                <w:tab w:val="left" w:pos="795"/>
              </w:tabs>
              <w:spacing w:before="150"/>
              <w:ind w:left="794" w:hanging="361"/>
            </w:pPr>
            <w:proofErr w:type="spellStart"/>
            <w:r>
              <w:t>Orthographie</w:t>
            </w:r>
            <w:proofErr w:type="spellEnd"/>
          </w:p>
          <w:p w14:paraId="67B9B00A" w14:textId="77777777" w:rsidR="00103E22" w:rsidRDefault="00103E22" w:rsidP="00D36A7B">
            <w:pPr>
              <w:pStyle w:val="TableParagraph"/>
              <w:numPr>
                <w:ilvl w:val="0"/>
                <w:numId w:val="1"/>
              </w:numPr>
              <w:tabs>
                <w:tab w:val="left" w:pos="793"/>
                <w:tab w:val="left" w:pos="795"/>
              </w:tabs>
              <w:spacing w:before="158"/>
              <w:ind w:left="794" w:hanging="361"/>
            </w:pPr>
            <w:r>
              <w:t>Pas de</w:t>
            </w:r>
            <w:r>
              <w:rPr>
                <w:spacing w:val="-4"/>
              </w:rPr>
              <w:t xml:space="preserve"> </w:t>
            </w:r>
            <w:proofErr w:type="spellStart"/>
            <w:r>
              <w:t>redites</w:t>
            </w:r>
            <w:proofErr w:type="spellEnd"/>
          </w:p>
        </w:tc>
        <w:tc>
          <w:tcPr>
            <w:tcW w:w="3130" w:type="dxa"/>
            <w:tcBorders>
              <w:left w:val="single" w:sz="4" w:space="0" w:color="000000"/>
              <w:right w:val="single" w:sz="4" w:space="0" w:color="000000"/>
            </w:tcBorders>
          </w:tcPr>
          <w:p w14:paraId="59A364E5" w14:textId="77777777" w:rsidR="00103E22" w:rsidRDefault="00103E22" w:rsidP="00D36A7B">
            <w:pPr>
              <w:pStyle w:val="TableParagraph"/>
              <w:ind w:left="0"/>
            </w:pPr>
          </w:p>
        </w:tc>
      </w:tr>
    </w:tbl>
    <w:p w14:paraId="1B39F5DD" w14:textId="77777777" w:rsidR="00103E22" w:rsidRPr="00103E22" w:rsidRDefault="00103E22" w:rsidP="00103E22">
      <w:pPr>
        <w:pStyle w:val="Titre1"/>
        <w:spacing w:before="261"/>
        <w:ind w:left="251"/>
        <w:rPr>
          <w:sz w:val="24"/>
          <w:szCs w:val="24"/>
          <w:lang w:val="fr-BE"/>
        </w:rPr>
      </w:pPr>
      <w:r w:rsidRPr="00103E22">
        <w:rPr>
          <w:sz w:val="24"/>
          <w:szCs w:val="24"/>
          <w:lang w:val="fr-BE"/>
        </w:rPr>
        <w:t>Des manquements majeurs au second critère peuvent entraîner l</w:t>
      </w:r>
      <w:r>
        <w:rPr>
          <w:sz w:val="24"/>
          <w:szCs w:val="24"/>
          <w:lang w:val="fr-BE"/>
        </w:rPr>
        <w:t>’</w:t>
      </w:r>
      <w:r w:rsidRPr="00103E22">
        <w:rPr>
          <w:sz w:val="24"/>
          <w:szCs w:val="24"/>
          <w:lang w:val="fr-BE"/>
        </w:rPr>
        <w:t>échec.</w:t>
      </w:r>
    </w:p>
    <w:p w14:paraId="1999DD41" w14:textId="77777777" w:rsidR="00103E22" w:rsidRPr="00E4243B" w:rsidRDefault="00103E22" w:rsidP="00103E22">
      <w:pPr>
        <w:pStyle w:val="Corpsdetexte"/>
        <w:spacing w:before="1"/>
        <w:ind w:left="0"/>
        <w:rPr>
          <w:b/>
          <w:sz w:val="28"/>
          <w:lang w:val="fr-BE"/>
        </w:rPr>
      </w:pPr>
    </w:p>
    <w:p w14:paraId="3EC9C268" w14:textId="77777777" w:rsidR="00103E22" w:rsidRPr="00103E22" w:rsidRDefault="00103E22" w:rsidP="00103E22">
      <w:pPr>
        <w:rPr>
          <w:b/>
          <w:bCs/>
          <w:i/>
          <w:iCs/>
          <w:lang w:val="fr-BE"/>
        </w:rPr>
      </w:pPr>
      <w:r w:rsidRPr="00103E22">
        <w:rPr>
          <w:b/>
          <w:bCs/>
          <w:i/>
          <w:iCs/>
          <w:lang w:val="fr-BE"/>
        </w:rPr>
        <w:t>Conseils pour résumer un texte</w:t>
      </w:r>
      <w:r>
        <w:rPr>
          <w:b/>
          <w:bCs/>
          <w:i/>
          <w:iCs/>
          <w:lang w:val="fr-BE"/>
        </w:rPr>
        <w:t> </w:t>
      </w:r>
      <w:r w:rsidRPr="00103E22">
        <w:rPr>
          <w:b/>
          <w:bCs/>
          <w:i/>
          <w:iCs/>
          <w:lang w:val="fr-BE"/>
        </w:rPr>
        <w:t>:</w:t>
      </w:r>
    </w:p>
    <w:p w14:paraId="5D33E7AC" w14:textId="77777777" w:rsidR="00103E22" w:rsidRPr="00103E22" w:rsidRDefault="00103E22" w:rsidP="00103E22">
      <w:pPr>
        <w:rPr>
          <w:lang w:val="fr-BE"/>
        </w:rPr>
      </w:pPr>
    </w:p>
    <w:p w14:paraId="2B4B8DCC" w14:textId="77777777" w:rsidR="00103E22" w:rsidRPr="00103E22" w:rsidRDefault="00103E22" w:rsidP="00103E22">
      <w:pPr>
        <w:jc w:val="both"/>
        <w:rPr>
          <w:lang w:val="fr-BE"/>
        </w:rPr>
      </w:pPr>
      <w:r w:rsidRPr="00103E22">
        <w:rPr>
          <w:lang w:val="fr-BE"/>
        </w:rPr>
        <w:t>L’essentiel du résumé gagne à se faire dans la tête avant de se faire par écrit sur la feuille. Et il faut résumer en se détachant du texte à résumer. Pendant la lecture, arrêtez-vous régulièrement, retournez le texte et organisez au fur et à mesure, dans votre tête, ce qu’il dit. En dégageant et reformulant les idées-clefs.</w:t>
      </w:r>
    </w:p>
    <w:p w14:paraId="0C8B9C8F" w14:textId="77777777" w:rsidR="00103E22" w:rsidRPr="00103E22" w:rsidRDefault="00103E22" w:rsidP="00103E22">
      <w:pPr>
        <w:jc w:val="both"/>
        <w:rPr>
          <w:lang w:val="fr-BE"/>
        </w:rPr>
      </w:pPr>
    </w:p>
    <w:p w14:paraId="6301DE6F" w14:textId="77777777" w:rsidR="00103E22" w:rsidRPr="00103E22" w:rsidRDefault="00103E22" w:rsidP="00103E22">
      <w:pPr>
        <w:jc w:val="both"/>
        <w:rPr>
          <w:lang w:val="fr-BE"/>
        </w:rPr>
      </w:pPr>
      <w:r w:rsidRPr="00103E22">
        <w:rPr>
          <w:lang w:val="fr-BE"/>
        </w:rPr>
        <w:t>Une fois que vous avez bien lu le texte, éventuellement relu et rerelu pour l’avoir suffisamment compris, entamez le travail de résumé d’abord sans rien écrire</w:t>
      </w:r>
      <w:r>
        <w:rPr>
          <w:lang w:val="fr-BE"/>
        </w:rPr>
        <w:t> </w:t>
      </w:r>
      <w:r w:rsidRPr="00103E22">
        <w:rPr>
          <w:lang w:val="fr-BE"/>
        </w:rPr>
        <w:t xml:space="preserve">: répétez-vous intérieurement l’enchaînement des idées (du début à la fin) de la façon la plus courte possible. </w:t>
      </w:r>
      <w:r>
        <w:rPr>
          <w:lang w:val="fr-BE"/>
        </w:rPr>
        <w:t>É</w:t>
      </w:r>
      <w:r w:rsidRPr="00103E22">
        <w:rPr>
          <w:lang w:val="fr-BE"/>
        </w:rPr>
        <w:t>ventuellement, vous pouvez les visualiser.</w:t>
      </w:r>
    </w:p>
    <w:p w14:paraId="59BF22E9" w14:textId="77777777" w:rsidR="00103E22" w:rsidRPr="00103E22" w:rsidRDefault="00103E22" w:rsidP="00103E22">
      <w:pPr>
        <w:jc w:val="both"/>
        <w:rPr>
          <w:lang w:val="fr-BE"/>
        </w:rPr>
      </w:pPr>
    </w:p>
    <w:p w14:paraId="14AB35A4" w14:textId="77777777" w:rsidR="00E034C1" w:rsidRPr="00103E22" w:rsidRDefault="00103E22" w:rsidP="00103E22">
      <w:pPr>
        <w:jc w:val="both"/>
        <w:rPr>
          <w:lang w:val="fr-BE"/>
        </w:rPr>
      </w:pPr>
      <w:r w:rsidRPr="00103E22">
        <w:rPr>
          <w:lang w:val="fr-BE"/>
        </w:rPr>
        <w:t>Mettez par écrit ce premier brouillon, comptez le nombre de mots et voyez éventuellement comment l’étoffer en ajoutant des éléments si vous en avez la place. N</w:t>
      </w:r>
      <w:r>
        <w:rPr>
          <w:lang w:val="fr-BE"/>
        </w:rPr>
        <w:t>’</w:t>
      </w:r>
      <w:r w:rsidRPr="00103E22">
        <w:rPr>
          <w:lang w:val="fr-BE"/>
        </w:rPr>
        <w:t>oubliez pas de vérifier l</w:t>
      </w:r>
      <w:r>
        <w:rPr>
          <w:lang w:val="fr-BE"/>
        </w:rPr>
        <w:t>’</w:t>
      </w:r>
      <w:r w:rsidRPr="00103E22">
        <w:rPr>
          <w:lang w:val="fr-BE"/>
        </w:rPr>
        <w:t>orthographe, la syntaxe.</w:t>
      </w:r>
    </w:p>
    <w:sectPr w:rsidR="00E034C1" w:rsidRPr="00103E2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57A2EB" w14:textId="77777777" w:rsidR="004C1524" w:rsidRDefault="004C1524" w:rsidP="00103E22">
      <w:r>
        <w:separator/>
      </w:r>
    </w:p>
  </w:endnote>
  <w:endnote w:type="continuationSeparator" w:id="0">
    <w:p w14:paraId="32FBD30A" w14:textId="77777777" w:rsidR="004C1524" w:rsidRDefault="004C1524" w:rsidP="00103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BE5F5" w14:textId="50500ADE" w:rsidR="00E418A3" w:rsidRPr="00E418A3" w:rsidRDefault="00E418A3" w:rsidP="00E418A3">
    <w:pPr>
      <w:pStyle w:val="Pieddepage"/>
      <w:jc w:val="right"/>
      <w:rPr>
        <w:lang w:val="fr-BE"/>
      </w:rPr>
    </w:pPr>
    <w:r>
      <w:rPr>
        <w:lang w:val="fr-BE"/>
      </w:rPr>
      <w:t xml:space="preserve">UAA </w:t>
    </w:r>
    <w:r w:rsidR="000F1239">
      <w:rPr>
        <w:lang w:val="fr-BE"/>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A9CAE6" w14:textId="77777777" w:rsidR="004C1524" w:rsidRDefault="004C1524" w:rsidP="00103E22">
      <w:r>
        <w:separator/>
      </w:r>
    </w:p>
  </w:footnote>
  <w:footnote w:type="continuationSeparator" w:id="0">
    <w:p w14:paraId="53E6D0D5" w14:textId="77777777" w:rsidR="004C1524" w:rsidRDefault="004C1524" w:rsidP="00103E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446B9"/>
    <w:multiLevelType w:val="hybridMultilevel"/>
    <w:tmpl w:val="DC44A118"/>
    <w:lvl w:ilvl="0" w:tplc="9FFE6AD8">
      <w:numFmt w:val="bullet"/>
      <w:lvlText w:val=""/>
      <w:lvlJc w:val="left"/>
      <w:pPr>
        <w:ind w:left="433" w:hanging="360"/>
      </w:pPr>
      <w:rPr>
        <w:rFonts w:ascii="Symbol" w:eastAsia="Symbol" w:hAnsi="Symbol" w:cs="Symbol" w:hint="default"/>
        <w:w w:val="100"/>
        <w:sz w:val="18"/>
        <w:szCs w:val="18"/>
      </w:rPr>
    </w:lvl>
    <w:lvl w:ilvl="1" w:tplc="53B0EAB6">
      <w:numFmt w:val="bullet"/>
      <w:lvlText w:val="•"/>
      <w:lvlJc w:val="left"/>
      <w:pPr>
        <w:ind w:left="702" w:hanging="360"/>
      </w:pPr>
      <w:rPr>
        <w:rFonts w:hint="default"/>
      </w:rPr>
    </w:lvl>
    <w:lvl w:ilvl="2" w:tplc="D472A628">
      <w:numFmt w:val="bullet"/>
      <w:lvlText w:val="•"/>
      <w:lvlJc w:val="left"/>
      <w:pPr>
        <w:ind w:left="964" w:hanging="360"/>
      </w:pPr>
      <w:rPr>
        <w:rFonts w:hint="default"/>
      </w:rPr>
    </w:lvl>
    <w:lvl w:ilvl="3" w:tplc="FDA8D6C6">
      <w:numFmt w:val="bullet"/>
      <w:lvlText w:val="•"/>
      <w:lvlJc w:val="left"/>
      <w:pPr>
        <w:ind w:left="1226" w:hanging="360"/>
      </w:pPr>
      <w:rPr>
        <w:rFonts w:hint="default"/>
      </w:rPr>
    </w:lvl>
    <w:lvl w:ilvl="4" w:tplc="F6023A4A">
      <w:numFmt w:val="bullet"/>
      <w:lvlText w:val="•"/>
      <w:lvlJc w:val="left"/>
      <w:pPr>
        <w:ind w:left="1488" w:hanging="360"/>
      </w:pPr>
      <w:rPr>
        <w:rFonts w:hint="default"/>
      </w:rPr>
    </w:lvl>
    <w:lvl w:ilvl="5" w:tplc="870A2782">
      <w:numFmt w:val="bullet"/>
      <w:lvlText w:val="•"/>
      <w:lvlJc w:val="left"/>
      <w:pPr>
        <w:ind w:left="1751" w:hanging="360"/>
      </w:pPr>
      <w:rPr>
        <w:rFonts w:hint="default"/>
      </w:rPr>
    </w:lvl>
    <w:lvl w:ilvl="6" w:tplc="0C1E1FEA">
      <w:numFmt w:val="bullet"/>
      <w:lvlText w:val="•"/>
      <w:lvlJc w:val="left"/>
      <w:pPr>
        <w:ind w:left="2013" w:hanging="360"/>
      </w:pPr>
      <w:rPr>
        <w:rFonts w:hint="default"/>
      </w:rPr>
    </w:lvl>
    <w:lvl w:ilvl="7" w:tplc="B934A952">
      <w:numFmt w:val="bullet"/>
      <w:lvlText w:val="•"/>
      <w:lvlJc w:val="left"/>
      <w:pPr>
        <w:ind w:left="2275" w:hanging="360"/>
      </w:pPr>
      <w:rPr>
        <w:rFonts w:hint="default"/>
      </w:rPr>
    </w:lvl>
    <w:lvl w:ilvl="8" w:tplc="1C0689DA">
      <w:numFmt w:val="bullet"/>
      <w:lvlText w:val="•"/>
      <w:lvlJc w:val="left"/>
      <w:pPr>
        <w:ind w:left="2537" w:hanging="360"/>
      </w:pPr>
      <w:rPr>
        <w:rFonts w:hint="default"/>
      </w:rPr>
    </w:lvl>
  </w:abstractNum>
  <w:abstractNum w:abstractNumId="1" w15:restartNumberingAfterBreak="0">
    <w:nsid w:val="6EA15B1D"/>
    <w:multiLevelType w:val="hybridMultilevel"/>
    <w:tmpl w:val="4D3687E6"/>
    <w:lvl w:ilvl="0" w:tplc="1812CFA0">
      <w:numFmt w:val="bullet"/>
      <w:lvlText w:val=""/>
      <w:lvlJc w:val="left"/>
      <w:pPr>
        <w:ind w:left="433" w:hanging="360"/>
      </w:pPr>
      <w:rPr>
        <w:rFonts w:ascii="Symbol" w:eastAsia="Symbol" w:hAnsi="Symbol" w:cs="Symbol" w:hint="default"/>
        <w:w w:val="100"/>
        <w:sz w:val="18"/>
        <w:szCs w:val="18"/>
      </w:rPr>
    </w:lvl>
    <w:lvl w:ilvl="1" w:tplc="C1347CF4">
      <w:numFmt w:val="bullet"/>
      <w:lvlText w:val="•"/>
      <w:lvlJc w:val="left"/>
      <w:pPr>
        <w:ind w:left="702" w:hanging="360"/>
      </w:pPr>
      <w:rPr>
        <w:rFonts w:hint="default"/>
      </w:rPr>
    </w:lvl>
    <w:lvl w:ilvl="2" w:tplc="4432C548">
      <w:numFmt w:val="bullet"/>
      <w:lvlText w:val="•"/>
      <w:lvlJc w:val="left"/>
      <w:pPr>
        <w:ind w:left="964" w:hanging="360"/>
      </w:pPr>
      <w:rPr>
        <w:rFonts w:hint="default"/>
      </w:rPr>
    </w:lvl>
    <w:lvl w:ilvl="3" w:tplc="FA124EAE">
      <w:numFmt w:val="bullet"/>
      <w:lvlText w:val="•"/>
      <w:lvlJc w:val="left"/>
      <w:pPr>
        <w:ind w:left="1226" w:hanging="360"/>
      </w:pPr>
      <w:rPr>
        <w:rFonts w:hint="default"/>
      </w:rPr>
    </w:lvl>
    <w:lvl w:ilvl="4" w:tplc="DEF0405E">
      <w:numFmt w:val="bullet"/>
      <w:lvlText w:val="•"/>
      <w:lvlJc w:val="left"/>
      <w:pPr>
        <w:ind w:left="1488" w:hanging="360"/>
      </w:pPr>
      <w:rPr>
        <w:rFonts w:hint="default"/>
      </w:rPr>
    </w:lvl>
    <w:lvl w:ilvl="5" w:tplc="BE5C402E">
      <w:numFmt w:val="bullet"/>
      <w:lvlText w:val="•"/>
      <w:lvlJc w:val="left"/>
      <w:pPr>
        <w:ind w:left="1751" w:hanging="360"/>
      </w:pPr>
      <w:rPr>
        <w:rFonts w:hint="default"/>
      </w:rPr>
    </w:lvl>
    <w:lvl w:ilvl="6" w:tplc="6EB699E8">
      <w:numFmt w:val="bullet"/>
      <w:lvlText w:val="•"/>
      <w:lvlJc w:val="left"/>
      <w:pPr>
        <w:ind w:left="2013" w:hanging="360"/>
      </w:pPr>
      <w:rPr>
        <w:rFonts w:hint="default"/>
      </w:rPr>
    </w:lvl>
    <w:lvl w:ilvl="7" w:tplc="D15AE87C">
      <w:numFmt w:val="bullet"/>
      <w:lvlText w:val="•"/>
      <w:lvlJc w:val="left"/>
      <w:pPr>
        <w:ind w:left="2275" w:hanging="360"/>
      </w:pPr>
      <w:rPr>
        <w:rFonts w:hint="default"/>
      </w:rPr>
    </w:lvl>
    <w:lvl w:ilvl="8" w:tplc="93824D40">
      <w:numFmt w:val="bullet"/>
      <w:lvlText w:val="•"/>
      <w:lvlJc w:val="left"/>
      <w:pPr>
        <w:ind w:left="2537" w:hanging="360"/>
      </w:pPr>
      <w:rPr>
        <w:rFonts w:hint="default"/>
      </w:rPr>
    </w:lvl>
  </w:abstractNum>
  <w:abstractNum w:abstractNumId="2" w15:restartNumberingAfterBreak="0">
    <w:nsid w:val="7A044380"/>
    <w:multiLevelType w:val="hybridMultilevel"/>
    <w:tmpl w:val="B6485FE0"/>
    <w:lvl w:ilvl="0" w:tplc="6BB0DD10">
      <w:numFmt w:val="bullet"/>
      <w:lvlText w:val=""/>
      <w:lvlJc w:val="left"/>
      <w:pPr>
        <w:ind w:left="793" w:hanging="360"/>
      </w:pPr>
      <w:rPr>
        <w:rFonts w:ascii="Symbol" w:eastAsia="Symbol" w:hAnsi="Symbol" w:cs="Symbol" w:hint="default"/>
        <w:w w:val="100"/>
        <w:sz w:val="22"/>
        <w:szCs w:val="22"/>
      </w:rPr>
    </w:lvl>
    <w:lvl w:ilvl="1" w:tplc="49EC45F0">
      <w:numFmt w:val="bullet"/>
      <w:lvlText w:val="•"/>
      <w:lvlJc w:val="left"/>
      <w:pPr>
        <w:ind w:left="1026" w:hanging="360"/>
      </w:pPr>
      <w:rPr>
        <w:rFonts w:hint="default"/>
      </w:rPr>
    </w:lvl>
    <w:lvl w:ilvl="2" w:tplc="9ABC968A">
      <w:numFmt w:val="bullet"/>
      <w:lvlText w:val="•"/>
      <w:lvlJc w:val="left"/>
      <w:pPr>
        <w:ind w:left="1252" w:hanging="360"/>
      </w:pPr>
      <w:rPr>
        <w:rFonts w:hint="default"/>
      </w:rPr>
    </w:lvl>
    <w:lvl w:ilvl="3" w:tplc="D8F0EB92">
      <w:numFmt w:val="bullet"/>
      <w:lvlText w:val="•"/>
      <w:lvlJc w:val="left"/>
      <w:pPr>
        <w:ind w:left="1478" w:hanging="360"/>
      </w:pPr>
      <w:rPr>
        <w:rFonts w:hint="default"/>
      </w:rPr>
    </w:lvl>
    <w:lvl w:ilvl="4" w:tplc="CD20F5A8">
      <w:numFmt w:val="bullet"/>
      <w:lvlText w:val="•"/>
      <w:lvlJc w:val="left"/>
      <w:pPr>
        <w:ind w:left="1704" w:hanging="360"/>
      </w:pPr>
      <w:rPr>
        <w:rFonts w:hint="default"/>
      </w:rPr>
    </w:lvl>
    <w:lvl w:ilvl="5" w:tplc="B9BCEFAE">
      <w:numFmt w:val="bullet"/>
      <w:lvlText w:val="•"/>
      <w:lvlJc w:val="left"/>
      <w:pPr>
        <w:ind w:left="1931" w:hanging="360"/>
      </w:pPr>
      <w:rPr>
        <w:rFonts w:hint="default"/>
      </w:rPr>
    </w:lvl>
    <w:lvl w:ilvl="6" w:tplc="910E34EC">
      <w:numFmt w:val="bullet"/>
      <w:lvlText w:val="•"/>
      <w:lvlJc w:val="left"/>
      <w:pPr>
        <w:ind w:left="2157" w:hanging="360"/>
      </w:pPr>
      <w:rPr>
        <w:rFonts w:hint="default"/>
      </w:rPr>
    </w:lvl>
    <w:lvl w:ilvl="7" w:tplc="BDF6FE3C">
      <w:numFmt w:val="bullet"/>
      <w:lvlText w:val="•"/>
      <w:lvlJc w:val="left"/>
      <w:pPr>
        <w:ind w:left="2383" w:hanging="360"/>
      </w:pPr>
      <w:rPr>
        <w:rFonts w:hint="default"/>
      </w:rPr>
    </w:lvl>
    <w:lvl w:ilvl="8" w:tplc="D7D2551E">
      <w:numFmt w:val="bullet"/>
      <w:lvlText w:val="•"/>
      <w:lvlJc w:val="left"/>
      <w:pPr>
        <w:ind w:left="2609" w:hanging="3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E22"/>
    <w:rsid w:val="00021E92"/>
    <w:rsid w:val="000F1239"/>
    <w:rsid w:val="00103E22"/>
    <w:rsid w:val="00392427"/>
    <w:rsid w:val="00456C8A"/>
    <w:rsid w:val="004870EF"/>
    <w:rsid w:val="004C1524"/>
    <w:rsid w:val="005E4B3B"/>
    <w:rsid w:val="00736E6C"/>
    <w:rsid w:val="00D83F8F"/>
    <w:rsid w:val="00E034C1"/>
    <w:rsid w:val="00E418A3"/>
    <w:rsid w:val="00ED001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66696"/>
  <w15:chartTrackingRefBased/>
  <w15:docId w15:val="{F8A5FF8F-3316-442E-89B2-C68F39C74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7">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sid w:val="00103E22"/>
    <w:pPr>
      <w:widowControl w:val="0"/>
      <w:autoSpaceDE w:val="0"/>
      <w:autoSpaceDN w:val="0"/>
      <w:spacing w:after="0" w:line="240" w:lineRule="auto"/>
    </w:pPr>
    <w:rPr>
      <w:rFonts w:ascii="Times New Roman" w:eastAsia="Times New Roman" w:hAnsi="Times New Roman" w:cs="Times New Roman"/>
      <w:lang w:val="en-US"/>
    </w:rPr>
  </w:style>
  <w:style w:type="paragraph" w:styleId="Titre1">
    <w:name w:val="heading 1"/>
    <w:basedOn w:val="Normal"/>
    <w:link w:val="Titre1Car"/>
    <w:uiPriority w:val="1"/>
    <w:qFormat/>
    <w:rsid w:val="00103E22"/>
    <w:pPr>
      <w:ind w:left="462"/>
      <w:outlineLvl w:val="0"/>
    </w:pPr>
    <w:rPr>
      <w:b/>
      <w:bCs/>
      <w:sz w:val="28"/>
      <w:szCs w:val="28"/>
    </w:rPr>
  </w:style>
  <w:style w:type="paragraph" w:styleId="Titre5">
    <w:name w:val="heading 5"/>
    <w:basedOn w:val="Normal"/>
    <w:next w:val="Normal"/>
    <w:link w:val="Titre5Car"/>
    <w:uiPriority w:val="9"/>
    <w:semiHidden/>
    <w:unhideWhenUsed/>
    <w:qFormat/>
    <w:rsid w:val="00E418A3"/>
    <w:pPr>
      <w:keepNext/>
      <w:keepLines/>
      <w:spacing w:before="4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103E22"/>
    <w:rPr>
      <w:rFonts w:ascii="Times New Roman" w:eastAsia="Times New Roman" w:hAnsi="Times New Roman" w:cs="Times New Roman"/>
      <w:b/>
      <w:bCs/>
      <w:sz w:val="28"/>
      <w:szCs w:val="28"/>
      <w:lang w:val="en-US"/>
    </w:rPr>
  </w:style>
  <w:style w:type="table" w:customStyle="1" w:styleId="TableNormal">
    <w:name w:val="Table Normal"/>
    <w:uiPriority w:val="2"/>
    <w:semiHidden/>
    <w:unhideWhenUsed/>
    <w:qFormat/>
    <w:rsid w:val="00103E2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103E22"/>
    <w:pPr>
      <w:ind w:left="463"/>
    </w:pPr>
    <w:rPr>
      <w:sz w:val="24"/>
      <w:szCs w:val="24"/>
    </w:rPr>
  </w:style>
  <w:style w:type="character" w:customStyle="1" w:styleId="CorpsdetexteCar">
    <w:name w:val="Corps de texte Car"/>
    <w:basedOn w:val="Policepardfaut"/>
    <w:link w:val="Corpsdetexte"/>
    <w:uiPriority w:val="1"/>
    <w:rsid w:val="00103E22"/>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103E22"/>
    <w:pPr>
      <w:ind w:left="433"/>
    </w:pPr>
  </w:style>
  <w:style w:type="paragraph" w:styleId="En-tte">
    <w:name w:val="header"/>
    <w:basedOn w:val="Normal"/>
    <w:link w:val="En-tteCar"/>
    <w:uiPriority w:val="99"/>
    <w:unhideWhenUsed/>
    <w:rsid w:val="00103E22"/>
    <w:pPr>
      <w:tabs>
        <w:tab w:val="center" w:pos="4536"/>
        <w:tab w:val="right" w:pos="9072"/>
      </w:tabs>
    </w:pPr>
  </w:style>
  <w:style w:type="character" w:customStyle="1" w:styleId="En-tteCar">
    <w:name w:val="En-tête Car"/>
    <w:basedOn w:val="Policepardfaut"/>
    <w:link w:val="En-tte"/>
    <w:uiPriority w:val="99"/>
    <w:rsid w:val="00103E22"/>
    <w:rPr>
      <w:rFonts w:ascii="Times New Roman" w:eastAsia="Times New Roman" w:hAnsi="Times New Roman" w:cs="Times New Roman"/>
      <w:lang w:val="en-US"/>
    </w:rPr>
  </w:style>
  <w:style w:type="paragraph" w:styleId="Pieddepage">
    <w:name w:val="footer"/>
    <w:basedOn w:val="Normal"/>
    <w:link w:val="PieddepageCar"/>
    <w:uiPriority w:val="99"/>
    <w:unhideWhenUsed/>
    <w:rsid w:val="00103E22"/>
    <w:pPr>
      <w:tabs>
        <w:tab w:val="center" w:pos="4536"/>
        <w:tab w:val="right" w:pos="9072"/>
      </w:tabs>
    </w:pPr>
  </w:style>
  <w:style w:type="character" w:customStyle="1" w:styleId="PieddepageCar">
    <w:name w:val="Pied de page Car"/>
    <w:basedOn w:val="Policepardfaut"/>
    <w:link w:val="Pieddepage"/>
    <w:uiPriority w:val="99"/>
    <w:rsid w:val="00103E22"/>
    <w:rPr>
      <w:rFonts w:ascii="Times New Roman" w:eastAsia="Times New Roman" w:hAnsi="Times New Roman" w:cs="Times New Roman"/>
      <w:lang w:val="en-US"/>
    </w:rPr>
  </w:style>
  <w:style w:type="character" w:customStyle="1" w:styleId="Titre5Car">
    <w:name w:val="Titre 5 Car"/>
    <w:basedOn w:val="Policepardfaut"/>
    <w:link w:val="Titre5"/>
    <w:uiPriority w:val="9"/>
    <w:semiHidden/>
    <w:rsid w:val="00E418A3"/>
    <w:rPr>
      <w:rFonts w:asciiTheme="majorHAnsi" w:eastAsiaTheme="majorEastAsia" w:hAnsiTheme="majorHAnsi" w:cstheme="majorBidi"/>
      <w:color w:val="2F5496" w:themeColor="accent1" w:themeShade="B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8442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569</Words>
  <Characters>3134</Characters>
  <Application>Microsoft Office Word</Application>
  <DocSecurity>0</DocSecurity>
  <Lines>26</Lines>
  <Paragraphs>7</Paragraphs>
  <ScaleCrop>false</ScaleCrop>
  <HeadingPairs>
    <vt:vector size="4" baseType="variant">
      <vt:variant>
        <vt:lpstr>Titre</vt:lpstr>
      </vt:variant>
      <vt:variant>
        <vt:i4>1</vt:i4>
      </vt:variant>
      <vt:variant>
        <vt:lpstr>Titres</vt:lpstr>
      </vt:variant>
      <vt:variant>
        <vt:i4>1</vt:i4>
      </vt:variant>
    </vt:vector>
  </HeadingPairs>
  <TitlesOfParts>
    <vt:vector size="2" baseType="lpstr">
      <vt:lpstr/>
      <vt:lpstr>Des manquements majeurs au second critère peuvent entraîner l’échec.</vt:lpstr>
    </vt:vector>
  </TitlesOfParts>
  <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Pierre-Yves HONET</dc:creator>
  <cp:keywords/>
  <dc:description/>
  <cp:lastModifiedBy>Pierre-Yves HONET</cp:lastModifiedBy>
  <cp:revision>5</cp:revision>
  <dcterms:created xsi:type="dcterms:W3CDTF">2019-09-17T07:58:00Z</dcterms:created>
  <dcterms:modified xsi:type="dcterms:W3CDTF">2019-10-11T07:50:00Z</dcterms:modified>
</cp:coreProperties>
</file>