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E2BE" w14:textId="77777777" w:rsidR="009A70D6" w:rsidRDefault="009A70D6" w:rsidP="009A70D6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</w:pPr>
      <w:r w:rsidRPr="009A70D6"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  <w:t xml:space="preserve">Qu’est-ce qu’être un </w:t>
      </w:r>
      <w:proofErr w:type="spellStart"/>
      <w:r w:rsidRPr="009A70D6"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  <w:t>Cronope</w:t>
      </w:r>
      <w:proofErr w:type="spellEnd"/>
      <w:r w:rsidRPr="009A70D6"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  <w:t xml:space="preserve"> super-vie ?</w:t>
      </w:r>
    </w:p>
    <w:p w14:paraId="4E5F4274" w14:textId="77777777" w:rsidR="009A70D6" w:rsidRDefault="009A70D6" w:rsidP="009A70D6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</w:pPr>
      <w:proofErr w:type="gramStart"/>
      <w:r w:rsidRPr="009A70D6"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  <w:t>un</w:t>
      </w:r>
      <w:proofErr w:type="gramEnd"/>
      <w:r w:rsidRPr="009A70D6"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  <w:t xml:space="preserve"> Fameux infra-vie ? ou une Espérance para-vie ?</w:t>
      </w:r>
    </w:p>
    <w:p w14:paraId="37853528" w14:textId="77777777" w:rsidR="009A70D6" w:rsidRDefault="009A70D6" w:rsidP="009A70D6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</w:pPr>
    </w:p>
    <w:p w14:paraId="0C551148" w14:textId="77777777" w:rsidR="009A70D6" w:rsidRDefault="009A70D6" w:rsidP="009A70D6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</w:pPr>
    </w:p>
    <w:p w14:paraId="3684B127" w14:textId="77777777" w:rsidR="009A70D6" w:rsidRDefault="009A70D6" w:rsidP="009A70D6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</w:pPr>
    </w:p>
    <w:p w14:paraId="1B8CEF46" w14:textId="77777777" w:rsidR="009A70D6" w:rsidRDefault="009A70D6" w:rsidP="009A70D6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</w:pPr>
    </w:p>
    <w:p w14:paraId="08C41C8F" w14:textId="77777777" w:rsidR="009A70D6" w:rsidRPr="009A70D6" w:rsidRDefault="009A70D6" w:rsidP="009A70D6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32"/>
          <w:szCs w:val="32"/>
          <w:lang w:eastAsia="fr-FR"/>
        </w:rPr>
      </w:pPr>
    </w:p>
    <w:p w14:paraId="66886267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Julio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Cortazar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est bien un </w:t>
      </w:r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moraliste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(</w:t>
      </w:r>
      <w:hyperlink r:id="rId6" w:tgtFrame="_blank" w:history="1">
        <w:r w:rsidRPr="009A70D6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FR"/>
          </w:rPr>
          <w:t xml:space="preserve">voir article </w:t>
        </w:r>
        <w:r w:rsidRPr="009A70D6">
          <w:rPr>
            <w:rFonts w:ascii="Gill Sans MT" w:eastAsia="Times New Roman" w:hAnsi="Gill Sans MT" w:cs="Times New Roman"/>
            <w:i/>
            <w:iCs/>
            <w:color w:val="0000FF"/>
            <w:sz w:val="24"/>
            <w:szCs w:val="24"/>
            <w:u w:val="single"/>
            <w:lang w:eastAsia="fr-FR"/>
          </w:rPr>
          <w:t>Littérature et Morale</w:t>
        </w:r>
      </w:hyperlink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).  À travers les trois types de personnage de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Cronopes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et Fameux, il nous présente trois « caractères » humains.</w:t>
      </w:r>
    </w:p>
    <w:p w14:paraId="1933FC10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Mais comment les définir ? les caractériser ? Un premier travail a permis d'en relever une série de traits descriptifs :</w:t>
      </w:r>
    </w:p>
    <w:p w14:paraId="7A59A1D7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spellStart"/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Cronopes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 :</w:t>
      </w:r>
    </w:p>
    <w:p w14:paraId="5BA29F81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désordonnés</w:t>
      </w:r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— peu chanceux — pas généreux — refus des enfants — ne se plaignent pas — enthousiastes — pas amicaux —  heureux — ils hallucinent — farceurs – créatifs – rêveurs — inconscients — positifs, ne se découragent pas — libres — sadiques – cruels – fourbes — tristes/désespérés (la photo était floue) — vifs — joyeux — spontanés — insouciants — égoïstes — vivent au jour le jour — grossiers</w:t>
      </w:r>
    </w:p>
    <w:p w14:paraId="08CDEF02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Fameux :</w:t>
      </w:r>
    </w:p>
    <w:p w14:paraId="5F56DCB7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ordonnés</w:t>
      </w:r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— entrepreneurs — généreux — organisés — envieux — orgueilleux — prétentieux — libidineux — conservateurs — prévoyants — négligents — maniaques — minutieux — altruistes — pas sociables — pessimistes/voient le mal partout — fortes personnalités — chefs/meneurs — droits — têtus — sérieux comme des parents — dépensiers — insolents — radins — exigeants</w:t>
      </w:r>
    </w:p>
    <w:p w14:paraId="225E5324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Espérances :</w:t>
      </w:r>
    </w:p>
    <w:p w14:paraId="17A84CD2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moqueuses</w:t>
      </w:r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– sympathiques – passives – tristes – sédentaires — gentilles — pas débrouillardes — naïves — réfléchies — silencieuses – puériles – nonchalantes — discrètes – accueillantes – maladroites — laissent les aléas de la vie se faire — fragiles – n’innovent pas, ne créent pas – émotives — placides — victimes — ne bougent pas — croyantes — mises en arrière — pleurnicheuses — manque d’autonomie — se laissent vivre — ne réagissent pas</w:t>
      </w:r>
    </w:p>
    <w:p w14:paraId="2E97C55E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On peut compléter ce relevé avec celui réalisé, voici quelques années, par une autre classe : </w:t>
      </w:r>
      <w:hyperlink r:id="rId7" w:tgtFrame="_blank" w:history="1">
        <w:r w:rsidRPr="009A70D6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FR"/>
          </w:rPr>
          <w:t>cliquez ici</w:t>
        </w:r>
      </w:hyperlink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.</w:t>
      </w:r>
    </w:p>
    <w:p w14:paraId="0F7B8004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Le défi est maintenant de </w:t>
      </w:r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synthétiser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en identifiant, en 40 mots maximum pour chaque type de personnage, un ou quelques traits distinctifs.</w:t>
      </w:r>
    </w:p>
    <w:p w14:paraId="0FEADD44" w14:textId="77777777" w:rsid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>
        <w:rPr>
          <w:rFonts w:ascii="Gill Sans MT" w:eastAsia="Times New Roman" w:hAnsi="Gill Sans MT" w:cs="Times New Roman"/>
          <w:sz w:val="24"/>
          <w:szCs w:val="24"/>
          <w:lang w:eastAsia="fr-FR"/>
        </w:rPr>
        <w:br w:type="page"/>
      </w:r>
    </w:p>
    <w:p w14:paraId="40373BF1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lastRenderedPageBreak/>
        <w:t>Partons d'un texte qui, à travers trois mystérieuses expressions, pourrait nous livrer une clé de lecture :</w:t>
      </w:r>
    </w:p>
    <w:p w14:paraId="220355E8" w14:textId="77777777" w:rsidR="009A70D6" w:rsidRDefault="009A70D6" w:rsidP="009A70D6">
      <w:pPr>
        <w:spacing w:before="100" w:beforeAutospacing="1" w:after="100" w:afterAutospacing="1" w:line="240" w:lineRule="auto"/>
        <w:ind w:left="1134"/>
        <w:jc w:val="both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</w:pPr>
    </w:p>
    <w:p w14:paraId="75037873" w14:textId="77777777" w:rsidR="009A70D6" w:rsidRDefault="009A70D6" w:rsidP="009A70D6">
      <w:pPr>
        <w:spacing w:before="100" w:beforeAutospacing="1" w:after="100" w:afterAutospacing="1" w:line="240" w:lineRule="auto"/>
        <w:ind w:left="1134"/>
        <w:jc w:val="both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</w:pPr>
    </w:p>
    <w:p w14:paraId="2130C572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</w:pPr>
      <w:r w:rsidRPr="009A70D6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Le déjeuner</w:t>
      </w:r>
    </w:p>
    <w:p w14:paraId="67136F04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Un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Cronope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parvint non sans peine à établir un thermomètre de vies. Quelque chose entre le thermomètre et le topomètre, entre la fiche et le curriculum </w:t>
      </w:r>
      <w:proofErr w:type="spellStart"/>
      <w:proofErr w:type="gram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vitae.Par</w:t>
      </w:r>
      <w:proofErr w:type="spellEnd"/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exemple si le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Cronope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recevait chez lui un Fameux, une Espérance et un professeur de langues vivantes, il en déduisait, d’après ses plus récentes découvertes, que le Fameux était infra-vie, l’Espérance para-vie et le professeur de langues inter-vie. Quant au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Cronope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lui-même, il se considérait légèrement super-vie mais plus par poésie que par vérité.</w:t>
      </w:r>
    </w:p>
    <w:p w14:paraId="6F96ED07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À l’heure du déjeuner, ce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Cronope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savourait fort la conversation de ses invités car ils croyaient parler des mêmes choses et c’était pure illusion. L’inter-vie brassait des abstractions telles qu’esprit et conscience que le para-vie écoutait comme on écoute pleuvoir, tâche délicate. Et, bien entendu, l’infra-vie demandait à tout instant le gruyère râpé et le super-vie coupait le poulet en quarante-deux mouvements pas un de plus, méthode Stanley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Fitzsimmons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. Au dessert, les vies se saluaient et s’en allaient vaquer à leurs occupations et il ne restait plus sur la table que de petits morceaux épars de la mort.</w:t>
      </w:r>
    </w:p>
    <w:p w14:paraId="0C101A0F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val="es-ES_tradnl" w:eastAsia="fr-FR"/>
        </w:rPr>
        <w:t>El almuerzo</w:t>
      </w:r>
    </w:p>
    <w:p w14:paraId="60C4764F" w14:textId="77777777" w:rsidR="009A70D6" w:rsidRPr="009A70D6" w:rsidRDefault="009A70D6" w:rsidP="009A70D6">
      <w:pPr>
        <w:spacing w:after="0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 </w:t>
      </w:r>
    </w:p>
    <w:p w14:paraId="6BFB8BC3" w14:textId="77777777" w:rsidR="009A70D6" w:rsidRPr="009A70D6" w:rsidRDefault="009A70D6" w:rsidP="009A70D6">
      <w:pPr>
        <w:spacing w:after="0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No sin trabajo un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cronopio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llegó a establecer un termómetro de vidas. Algo entre termómetro y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topómetro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, entre fichero y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curriculum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vitae. Por ejemplo, el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cronopio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en su casa recibía a </w:t>
      </w:r>
      <w:proofErr w:type="gram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un fama</w:t>
      </w:r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, una esperanza y un profesor de lenguas. Aplicando sus descubrimientos estableció que </w:t>
      </w:r>
      <w:proofErr w:type="gram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el fama</w:t>
      </w:r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era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infra-vida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, la esperanza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para-vida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, y el profesor de lenguas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inter-vida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. En cuanto al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cronopio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mismo, se consideraba ligeramente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super-vida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, pero más por poesía que por verdad.</w:t>
      </w:r>
    </w:p>
    <w:p w14:paraId="2C2DBA97" w14:textId="77777777" w:rsidR="009A70D6" w:rsidRPr="009A70D6" w:rsidRDefault="009A70D6" w:rsidP="009A70D6">
      <w:pPr>
        <w:spacing w:after="0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 </w:t>
      </w:r>
    </w:p>
    <w:p w14:paraId="715C0B58" w14:textId="77777777" w:rsidR="009A70D6" w:rsidRPr="009A70D6" w:rsidRDefault="009A70D6" w:rsidP="009A70D6">
      <w:pPr>
        <w:spacing w:after="0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A la hora del almuerzo este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cronopio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gozaba en oír hablar a sus contertulios, porque todos creían estar refiriéndose a las mismas cosas y no era así. La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inter-vida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manejaba abstracciones tales como espíritu y conciencia, que la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para-vida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escuchaba como quien oye llover — tarea delicada. Por supuesto, la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infra-vida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pedía a cada instante el queso rallado, y la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super-vida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 xml:space="preserve"> trinchaba el pollo en cuarenta y dos movimientos, método Stanley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Fitzsimmons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val="es-ES_tradnl" w:eastAsia="fr-FR"/>
        </w:rPr>
        <w:t>. A los postres las vidas se saludaban y se iban a sus ocupaciones, y en la mesa quedaban solamente pedacitos sueltos de la muerte.</w:t>
      </w:r>
    </w:p>
    <w:p w14:paraId="732C1CA9" w14:textId="77777777" w:rsidR="009A70D6" w:rsidRPr="009A70D6" w:rsidRDefault="009A70D6" w:rsidP="009A70D6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 </w:t>
      </w:r>
    </w:p>
    <w:p w14:paraId="7E547C99" w14:textId="77777777" w:rsidR="009A70D6" w:rsidRDefault="009A70D6" w:rsidP="009A70D6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</w:pPr>
      <w:r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br w:type="page"/>
      </w:r>
    </w:p>
    <w:p w14:paraId="0A3CE781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</w:pPr>
      <w:r w:rsidRPr="009A70D6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Défi</w:t>
      </w:r>
    </w:p>
    <w:p w14:paraId="5D8A0552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Caractérise, en te basant sur tout le livre chacun des type</w:t>
      </w:r>
      <w:r>
        <w:rPr>
          <w:rFonts w:ascii="Gill Sans MT" w:eastAsia="Times New Roman" w:hAnsi="Gill Sans MT" w:cs="Times New Roman"/>
          <w:sz w:val="24"/>
          <w:szCs w:val="24"/>
          <w:lang w:eastAsia="fr-FR"/>
        </w:rPr>
        <w:t>s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de personnage en complétant avec 40 mots maximum chacune des phrases suivantes :</w:t>
      </w:r>
    </w:p>
    <w:p w14:paraId="12FB033E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Les 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Cronopes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sont super-vie...</w:t>
      </w:r>
    </w:p>
    <w:p w14:paraId="42B81CF1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Les Fameux sont infra-vie...</w:t>
      </w:r>
    </w:p>
    <w:p w14:paraId="2C3B24F7" w14:textId="77777777" w:rsidR="009A70D6" w:rsidRPr="009A70D6" w:rsidRDefault="009A70D6" w:rsidP="009A70D6">
      <w:pPr>
        <w:spacing w:before="100" w:beforeAutospacing="1" w:after="100" w:afterAutospacing="1" w:line="240" w:lineRule="auto"/>
        <w:ind w:left="1134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Les Espérances sont para-vie...</w:t>
      </w:r>
    </w:p>
    <w:p w14:paraId="7405E248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</w:pPr>
      <w:r w:rsidRPr="009A70D6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 xml:space="preserve">Précisions de vocabulaire (source : </w:t>
      </w:r>
      <w:hyperlink r:id="rId8" w:tgtFrame="_blank" w:history="1">
        <w:r w:rsidRPr="009A70D6">
          <w:rPr>
            <w:rFonts w:ascii="Gill Sans MT" w:eastAsia="Times New Roman" w:hAnsi="Gill Sans MT" w:cs="Times New Roman"/>
            <w:b/>
            <w:bCs/>
            <w:color w:val="0000FF"/>
            <w:sz w:val="27"/>
            <w:szCs w:val="27"/>
            <w:u w:val="single"/>
            <w:lang w:eastAsia="fr-FR"/>
          </w:rPr>
          <w:t>TLF</w:t>
        </w:r>
      </w:hyperlink>
      <w:r w:rsidRPr="009A70D6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)</w:t>
      </w:r>
    </w:p>
    <w:p w14:paraId="20C6DA18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« </w:t>
      </w:r>
      <w:proofErr w:type="gramStart"/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super</w:t>
      </w:r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» est un préfixe d'origine latine. Il exprime ce qui est </w:t>
      </w:r>
      <w:r w:rsidRPr="009A70D6">
        <w:rPr>
          <w:rFonts w:ascii="Gill Sans MT" w:eastAsia="Times New Roman" w:hAnsi="Gill Sans MT" w:cs="Times New Roman"/>
          <w:i/>
          <w:iCs/>
          <w:sz w:val="24"/>
          <w:szCs w:val="24"/>
          <w:lang w:eastAsia="fr-FR"/>
        </w:rPr>
        <w:t>supérieur, au-dessus, qui atteint le plus haut degré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de ce que désigne le mot auquel il est accolé.</w:t>
      </w:r>
    </w:p>
    <w:p w14:paraId="07A9A0F7" w14:textId="43E74CE1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« </w:t>
      </w:r>
      <w:proofErr w:type="gramStart"/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infra</w:t>
      </w:r>
      <w:proofErr w:type="gramEnd"/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 xml:space="preserve"> 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» est un préfixe d'origine latine. Il exprime ce qui est </w:t>
      </w:r>
      <w:r w:rsidRPr="009A70D6">
        <w:rPr>
          <w:rFonts w:ascii="Gill Sans MT" w:eastAsia="Times New Roman" w:hAnsi="Gill Sans MT" w:cs="Times New Roman"/>
          <w:i/>
          <w:iCs/>
          <w:sz w:val="24"/>
          <w:szCs w:val="24"/>
          <w:lang w:eastAsia="fr-FR"/>
        </w:rPr>
        <w:t>à un niveau</w:t>
      </w:r>
      <w:r>
        <w:rPr>
          <w:rFonts w:ascii="Gill Sans MT" w:eastAsia="Times New Roman" w:hAnsi="Gill Sans MT" w:cs="Times New Roman"/>
          <w:i/>
          <w:iCs/>
          <w:sz w:val="24"/>
          <w:szCs w:val="24"/>
          <w:lang w:eastAsia="fr-FR"/>
        </w:rPr>
        <w:t xml:space="preserve"> </w:t>
      </w:r>
      <w:r w:rsidR="004C0DFB">
        <w:rPr>
          <w:rFonts w:ascii="Gill Sans MT" w:eastAsia="Times New Roman" w:hAnsi="Gill Sans MT" w:cs="Times New Roman"/>
          <w:i/>
          <w:iCs/>
          <w:sz w:val="24"/>
          <w:szCs w:val="24"/>
          <w:lang w:eastAsia="fr-FR"/>
        </w:rPr>
        <w:t>et</w:t>
      </w:r>
      <w:bookmarkStart w:id="0" w:name="_GoBack"/>
      <w:bookmarkEnd w:id="0"/>
      <w:r>
        <w:rPr>
          <w:rFonts w:ascii="Gill Sans MT" w:eastAsia="Times New Roman" w:hAnsi="Gill Sans MT" w:cs="Times New Roman"/>
          <w:i/>
          <w:iCs/>
          <w:sz w:val="24"/>
          <w:szCs w:val="24"/>
          <w:lang w:eastAsia="fr-FR"/>
        </w:rPr>
        <w:t xml:space="preserve"> à</w:t>
      </w:r>
      <w:r w:rsidRPr="009A70D6">
        <w:rPr>
          <w:rFonts w:ascii="Gill Sans MT" w:eastAsia="Times New Roman" w:hAnsi="Gill Sans MT" w:cs="Times New Roman"/>
          <w:i/>
          <w:iCs/>
          <w:sz w:val="24"/>
          <w:szCs w:val="24"/>
          <w:lang w:eastAsia="fr-FR"/>
        </w:rPr>
        <w:t xml:space="preserve"> une valeur inférieurs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à ce qui est exprimé par le mot auquel il est accolé.</w:t>
      </w:r>
    </w:p>
    <w:p w14:paraId="1190D9D5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« </w:t>
      </w:r>
      <w:proofErr w:type="gramStart"/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para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»</w:t>
      </w:r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est un préfixe d'origine grecque. Il signifie « </w:t>
      </w:r>
      <w:r w:rsidRPr="009A70D6">
        <w:rPr>
          <w:rFonts w:ascii="Gill Sans MT" w:eastAsia="Times New Roman" w:hAnsi="Gill Sans MT" w:cs="Times New Roman"/>
          <w:i/>
          <w:iCs/>
          <w:sz w:val="24"/>
          <w:szCs w:val="24"/>
          <w:lang w:eastAsia="fr-FR"/>
        </w:rPr>
        <w:t>à côté de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».</w:t>
      </w:r>
    </w:p>
    <w:p w14:paraId="7D017965" w14:textId="77777777" w:rsidR="009A70D6" w:rsidRDefault="009A70D6" w:rsidP="009A70D6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Le « </w:t>
      </w:r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caractère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» vient mot grec </w:t>
      </w:r>
      <w:r w:rsidRPr="009A70D6">
        <w:rPr>
          <w:rFonts w:ascii="Gill Sans MT" w:eastAsia="Times New Roman" w:hAnsi="Gill Sans MT" w:cs="Times New Roman"/>
          <w:noProof/>
          <w:sz w:val="24"/>
          <w:szCs w:val="24"/>
          <w:lang w:eastAsia="fr-FR"/>
        </w:rPr>
        <w:drawing>
          <wp:inline distT="0" distB="0" distL="0" distR="0" wp14:anchorId="1F7F42CC" wp14:editId="703261D3">
            <wp:extent cx="638175" cy="1238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(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charaktèr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) qui signifie </w:t>
      </w:r>
      <w:r w:rsidRPr="009A70D6"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  <w:t>empreinte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. Il désigne d'abord </w:t>
      </w:r>
      <w:r w:rsidRPr="009A70D6">
        <w:rPr>
          <w:rFonts w:ascii="Gill Sans MT" w:eastAsia="Times New Roman" w:hAnsi="Gill Sans MT" w:cs="Times New Roman"/>
          <w:i/>
          <w:iCs/>
          <w:sz w:val="24"/>
          <w:szCs w:val="24"/>
          <w:lang w:eastAsia="fr-FR"/>
        </w:rPr>
        <w:t xml:space="preserve">le </w:t>
      </w:r>
      <w:r w:rsidRPr="009A70D6"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  <w:t>signe gravé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, écrit ou imprimé sur une surface quelconque, auquel on attribue un sens (les anciens </w:t>
      </w:r>
      <w:proofErr w:type="gram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marquait</w:t>
      </w:r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par exemple d'un caractère le front des criminels). C'est ensuite </w:t>
      </w:r>
      <w:r w:rsidRPr="009A70D6"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  <w:t>le signe typographique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utilisé en imprimerie. Un sens abstrait va ensuite apparaître : </w:t>
      </w:r>
      <w:r w:rsidRPr="009A70D6"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  <w:t>le(s) trait(s) distinctif(s) de quelque chose.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Pour ensuite exprimer </w:t>
      </w:r>
      <w:r w:rsidRPr="009A70D6"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  <w:t>l'ensemble des traits psychiques et moraux qui composent la personnalité d'un individu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.</w:t>
      </w:r>
    </w:p>
    <w:p w14:paraId="3C9B20A9" w14:textId="77777777" w:rsidR="009A70D6" w:rsidRPr="009A70D6" w:rsidRDefault="009A70D6" w:rsidP="009A70D6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br/>
        <w:t>En littérature, on parle aussi de "caractères" pour le</w:t>
      </w:r>
      <w:r w:rsidRPr="009A70D6">
        <w:rPr>
          <w:rFonts w:ascii="Gill Sans MT" w:eastAsia="Times New Roman" w:hAnsi="Gill Sans MT" w:cs="Times New Roman"/>
          <w:sz w:val="24"/>
          <w:szCs w:val="24"/>
          <w:u w:val="single"/>
          <w:lang w:eastAsia="fr-FR"/>
        </w:rPr>
        <w:t>s traits composant le portrait d'une personnalité type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.</w:t>
      </w:r>
    </w:p>
    <w:p w14:paraId="2640CEBC" w14:textId="77777777" w:rsidR="009A70D6" w:rsidRPr="009A70D6" w:rsidRDefault="009A70D6" w:rsidP="009A70D6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À noter que « </w:t>
      </w:r>
      <w:r w:rsidRPr="009A70D6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type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» a une signification et une origine assez similaire. Du grec </w:t>
      </w:r>
      <w:r w:rsidRPr="009A70D6">
        <w:rPr>
          <w:rFonts w:ascii="Gill Sans MT" w:eastAsia="Times New Roman" w:hAnsi="Gill Sans MT" w:cs="Times New Roman"/>
          <w:noProof/>
          <w:sz w:val="24"/>
          <w:szCs w:val="24"/>
          <w:lang w:eastAsia="fr-FR"/>
        </w:rPr>
        <w:drawing>
          <wp:inline distT="0" distB="0" distL="0" distR="0" wp14:anchorId="57DFD410" wp14:editId="40D73FC1">
            <wp:extent cx="361950" cy="1238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</w:t>
      </w:r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(</w:t>
      </w:r>
      <w:proofErr w:type="spell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tupos</w:t>
      </w:r>
      <w:proofErr w:type="spell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) d'abord « coup, blessure » qui a ensuite désigné l'empreinte en creux ou la saillie que </w:t>
      </w:r>
      <w:proofErr w:type="gramStart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>laisse la</w:t>
      </w:r>
      <w:proofErr w:type="gramEnd"/>
      <w:r w:rsidRPr="009A70D6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frappe d'une matrice, l'emblème figuré sur cette matrice, la marque d'un sceau, un bas-relief.</w:t>
      </w:r>
    </w:p>
    <w:p w14:paraId="1F47C5E2" w14:textId="77777777" w:rsidR="009A70D6" w:rsidRPr="009A70D6" w:rsidRDefault="009A70D6" w:rsidP="009A70D6">
      <w:pPr>
        <w:jc w:val="both"/>
        <w:rPr>
          <w:rFonts w:ascii="Gill Sans MT" w:hAnsi="Gill Sans MT"/>
        </w:rPr>
      </w:pPr>
    </w:p>
    <w:sectPr w:rsidR="009A70D6" w:rsidRPr="009A70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3A67E" w14:textId="77777777" w:rsidR="00F0192E" w:rsidRDefault="00F0192E" w:rsidP="009A70D6">
      <w:pPr>
        <w:spacing w:after="0" w:line="240" w:lineRule="auto"/>
      </w:pPr>
      <w:r>
        <w:separator/>
      </w:r>
    </w:p>
  </w:endnote>
  <w:endnote w:type="continuationSeparator" w:id="0">
    <w:p w14:paraId="1708C938" w14:textId="77777777" w:rsidR="00F0192E" w:rsidRDefault="00F0192E" w:rsidP="009A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0"/>
      <w:gridCol w:w="4512"/>
    </w:tblGrid>
    <w:tr w:rsidR="009A70D6" w14:paraId="35617A6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60F42C8" w14:textId="77777777" w:rsidR="009A70D6" w:rsidRDefault="009A70D6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281B74B" w14:textId="77777777" w:rsidR="009A70D6" w:rsidRDefault="009A70D6">
          <w:pPr>
            <w:pStyle w:val="En-tte"/>
            <w:jc w:val="right"/>
            <w:rPr>
              <w:caps/>
              <w:sz w:val="18"/>
            </w:rPr>
          </w:pPr>
        </w:p>
      </w:tc>
    </w:tr>
    <w:tr w:rsidR="009A70D6" w14:paraId="79254607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B28155C131CD4BC58BDF5E365A1F1D3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7A1D087" w14:textId="77777777" w:rsidR="009A70D6" w:rsidRDefault="009A70D6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Caractériser Cronopes, fameux et Esperances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5C9C8B3" w14:textId="77777777" w:rsidR="009A70D6" w:rsidRDefault="009A70D6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5FC73EE" w14:textId="77777777" w:rsidR="009A70D6" w:rsidRDefault="009A70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A815" w14:textId="77777777" w:rsidR="00F0192E" w:rsidRDefault="00F0192E" w:rsidP="009A70D6">
      <w:pPr>
        <w:spacing w:after="0" w:line="240" w:lineRule="auto"/>
      </w:pPr>
      <w:r>
        <w:separator/>
      </w:r>
    </w:p>
  </w:footnote>
  <w:footnote w:type="continuationSeparator" w:id="0">
    <w:p w14:paraId="48C73C29" w14:textId="77777777" w:rsidR="00F0192E" w:rsidRDefault="00F0192E" w:rsidP="009A7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D6"/>
    <w:rsid w:val="004C0DFB"/>
    <w:rsid w:val="009A70D6"/>
    <w:rsid w:val="00F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CF0D"/>
  <w15:chartTrackingRefBased/>
  <w15:docId w15:val="{D332BB3E-599A-4E0F-ACF5-A6B65D1A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0D6"/>
  </w:style>
  <w:style w:type="paragraph" w:styleId="Pieddepage">
    <w:name w:val="footer"/>
    <w:basedOn w:val="Normal"/>
    <w:link w:val="PieddepageCar"/>
    <w:uiPriority w:val="99"/>
    <w:unhideWhenUsed/>
    <w:rsid w:val="009A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ilf.atilf.fr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dallenogare.biz/fr4/wp-content/uploads/2019/10/cronopes-et-fameux-analyse-et-synthes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lenogare.biz/fr4/index.php/2019/09/29/morale-et-litteratur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8155C131CD4BC58BDF5E365A1F1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E156E-175F-4E2D-991C-4EAE7BAA2EC9}"/>
      </w:docPartPr>
      <w:docPartBody>
        <w:p w:rsidR="00E97FA8" w:rsidRDefault="00D20B79" w:rsidP="00D20B79">
          <w:pPr>
            <w:pStyle w:val="B28155C131CD4BC58BDF5E365A1F1D30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79"/>
    <w:rsid w:val="001B1FB1"/>
    <w:rsid w:val="00D20B79"/>
    <w:rsid w:val="00E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D20B79"/>
    <w:rPr>
      <w:color w:val="808080"/>
    </w:rPr>
  </w:style>
  <w:style w:type="paragraph" w:customStyle="1" w:styleId="B28155C131CD4BC58BDF5E365A1F1D30">
    <w:name w:val="B28155C131CD4BC58BDF5E365A1F1D30"/>
    <w:rsid w:val="00D20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5063</Characters>
  <Application>Microsoft Office Word</Application>
  <DocSecurity>0</DocSecurity>
  <Lines>163</Lines>
  <Paragraphs>94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Caractériser Cronopes, fameux et Esperances</dc:creator>
  <cp:keywords/>
  <dc:description/>
  <cp:lastModifiedBy>Pierre-Yves HONET</cp:lastModifiedBy>
  <cp:revision>2</cp:revision>
  <dcterms:created xsi:type="dcterms:W3CDTF">2019-12-01T11:06:00Z</dcterms:created>
  <dcterms:modified xsi:type="dcterms:W3CDTF">2019-12-01T11:06:00Z</dcterms:modified>
</cp:coreProperties>
</file>