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3576" w14:textId="7494C5A9" w:rsidR="00414B9E" w:rsidRPr="005B46A2" w:rsidRDefault="00414B9E" w:rsidP="00414B9E">
      <w:pPr>
        <w:spacing w:before="100" w:beforeAutospacing="1" w:after="100" w:afterAutospacing="1" w:line="240" w:lineRule="auto"/>
        <w:outlineLvl w:val="0"/>
        <w:rPr>
          <w:rFonts w:ascii="Gill Sans MT" w:eastAsia="Times New Roman" w:hAnsi="Gill Sans MT" w:cs="Times New Roman"/>
          <w:b/>
          <w:bCs/>
          <w:kern w:val="36"/>
          <w:sz w:val="32"/>
          <w:szCs w:val="32"/>
          <w:lang w:eastAsia="fr-BE"/>
        </w:rPr>
      </w:pPr>
      <w:r w:rsidRPr="005B46A2">
        <w:rPr>
          <w:rFonts w:ascii="Gill Sans MT" w:eastAsia="Times New Roman" w:hAnsi="Gill Sans MT" w:cs="Times New Roman"/>
          <w:b/>
          <w:bCs/>
          <w:kern w:val="36"/>
          <w:sz w:val="32"/>
          <w:szCs w:val="32"/>
          <w:lang w:eastAsia="fr-BE"/>
        </w:rPr>
        <w:t>Résume le texte en</w:t>
      </w:r>
      <w:r w:rsidR="00B422C9" w:rsidRPr="005B46A2">
        <w:rPr>
          <w:rFonts w:ascii="Gill Sans MT" w:eastAsia="Times New Roman" w:hAnsi="Gill Sans MT" w:cs="Times New Roman"/>
          <w:b/>
          <w:bCs/>
          <w:kern w:val="36"/>
          <w:sz w:val="32"/>
          <w:szCs w:val="32"/>
          <w:lang w:eastAsia="fr-BE"/>
        </w:rPr>
        <w:t xml:space="preserve"> </w:t>
      </w:r>
      <w:r w:rsidR="00936DD9" w:rsidRPr="005B46A2">
        <w:rPr>
          <w:rFonts w:ascii="Gill Sans MT" w:eastAsia="Times New Roman" w:hAnsi="Gill Sans MT" w:cs="Times New Roman"/>
          <w:b/>
          <w:bCs/>
          <w:kern w:val="36"/>
          <w:sz w:val="32"/>
          <w:szCs w:val="32"/>
          <w:lang w:eastAsia="fr-BE"/>
        </w:rPr>
        <w:t>25-35 mots, puis en 60</w:t>
      </w:r>
      <w:r w:rsidR="00B422C9" w:rsidRPr="005B46A2">
        <w:rPr>
          <w:rFonts w:ascii="Gill Sans MT" w:eastAsia="Times New Roman" w:hAnsi="Gill Sans MT" w:cs="Times New Roman"/>
          <w:b/>
          <w:bCs/>
          <w:kern w:val="36"/>
          <w:sz w:val="32"/>
          <w:szCs w:val="32"/>
          <w:lang w:eastAsia="fr-BE"/>
        </w:rPr>
        <w:t>-</w:t>
      </w:r>
      <w:r w:rsidR="00936DD9" w:rsidRPr="005B46A2">
        <w:rPr>
          <w:rFonts w:ascii="Gill Sans MT" w:eastAsia="Times New Roman" w:hAnsi="Gill Sans MT" w:cs="Times New Roman"/>
          <w:b/>
          <w:bCs/>
          <w:kern w:val="36"/>
          <w:sz w:val="32"/>
          <w:szCs w:val="32"/>
          <w:lang w:eastAsia="fr-BE"/>
        </w:rPr>
        <w:t>8</w:t>
      </w:r>
      <w:r w:rsidR="00B422C9" w:rsidRPr="005B46A2">
        <w:rPr>
          <w:rFonts w:ascii="Gill Sans MT" w:eastAsia="Times New Roman" w:hAnsi="Gill Sans MT" w:cs="Times New Roman"/>
          <w:b/>
          <w:bCs/>
          <w:kern w:val="36"/>
          <w:sz w:val="32"/>
          <w:szCs w:val="32"/>
          <w:lang w:eastAsia="fr-BE"/>
        </w:rPr>
        <w:t>0 mots</w:t>
      </w:r>
    </w:p>
    <w:p w14:paraId="3F359ED5" w14:textId="5FC7EF2E" w:rsidR="00414B9E" w:rsidRPr="005B46A2" w:rsidRDefault="00414B9E" w:rsidP="00414B9E">
      <w:pPr>
        <w:spacing w:before="100" w:beforeAutospacing="1" w:after="100" w:afterAutospacing="1" w:line="240" w:lineRule="auto"/>
        <w:jc w:val="center"/>
        <w:outlineLvl w:val="0"/>
        <w:rPr>
          <w:rFonts w:ascii="Gill Sans MT" w:eastAsia="Times New Roman" w:hAnsi="Gill Sans MT" w:cs="Times New Roman"/>
          <w:b/>
          <w:bCs/>
          <w:kern w:val="36"/>
          <w:sz w:val="36"/>
          <w:szCs w:val="36"/>
          <w:lang w:eastAsia="fr-BE"/>
        </w:rPr>
      </w:pPr>
      <w:r w:rsidRPr="005B46A2">
        <w:rPr>
          <w:rFonts w:ascii="Gill Sans MT" w:eastAsia="Times New Roman" w:hAnsi="Gill Sans MT" w:cs="Times New Roman"/>
          <w:b/>
          <w:bCs/>
          <w:kern w:val="36"/>
          <w:sz w:val="36"/>
          <w:szCs w:val="36"/>
          <w:lang w:eastAsia="fr-BE"/>
        </w:rPr>
        <w:t>« Justin Bieber pour chasser les vieux</w:t>
      </w:r>
      <w:r w:rsidR="005B46A2" w:rsidRPr="005B46A2">
        <w:rPr>
          <w:rFonts w:ascii="Gill Sans MT" w:eastAsia="Times New Roman" w:hAnsi="Gill Sans MT" w:cs="Times New Roman"/>
          <w:b/>
          <w:bCs/>
          <w:kern w:val="36"/>
          <w:sz w:val="36"/>
          <w:szCs w:val="36"/>
          <w:lang w:eastAsia="fr-BE"/>
        </w:rPr>
        <w:t xml:space="preserve"> </w:t>
      </w:r>
      <w:r w:rsidRPr="005B46A2">
        <w:rPr>
          <w:rFonts w:ascii="Gill Sans MT" w:eastAsia="Times New Roman" w:hAnsi="Gill Sans MT" w:cs="Times New Roman"/>
          <w:b/>
          <w:bCs/>
          <w:kern w:val="36"/>
          <w:sz w:val="36"/>
          <w:szCs w:val="36"/>
          <w:lang w:eastAsia="fr-BE"/>
        </w:rPr>
        <w:t>? », une réaction du Conseil de la Jeunesse Catholique</w:t>
      </w:r>
    </w:p>
    <w:p w14:paraId="071B3377" w14:textId="464D0F36" w:rsidR="00414B9E" w:rsidRPr="005B46A2" w:rsidRDefault="00414B9E" w:rsidP="00414B9E">
      <w:pPr>
        <w:spacing w:before="100" w:beforeAutospacing="1" w:after="100" w:afterAutospacing="1" w:line="240" w:lineRule="auto"/>
        <w:jc w:val="right"/>
        <w:rPr>
          <w:rFonts w:ascii="Gill Sans MT" w:eastAsia="Times New Roman" w:hAnsi="Gill Sans MT" w:cs="Times New Roman"/>
          <w:sz w:val="24"/>
          <w:szCs w:val="24"/>
          <w:lang w:eastAsia="fr-BE"/>
        </w:rPr>
      </w:pPr>
      <w:r w:rsidRPr="005B46A2">
        <w:rPr>
          <w:rFonts w:ascii="Gill Sans MT" w:eastAsia="Times New Roman" w:hAnsi="Gill Sans MT" w:cs="Times New Roman"/>
          <w:sz w:val="24"/>
          <w:szCs w:val="24"/>
          <w:lang w:eastAsia="fr-BE"/>
        </w:rPr>
        <w:t xml:space="preserve">Publié le 17 juillet 2012 par </w:t>
      </w:r>
      <w:hyperlink r:id="rId7" w:history="1">
        <w:r w:rsidRPr="005B46A2">
          <w:rPr>
            <w:rFonts w:ascii="Gill Sans MT" w:eastAsia="Times New Roman" w:hAnsi="Gill Sans MT" w:cs="Times New Roman"/>
            <w:sz w:val="24"/>
            <w:szCs w:val="24"/>
            <w:lang w:eastAsia="fr-BE"/>
          </w:rPr>
          <w:t>cathobel.be</w:t>
        </w:r>
      </w:hyperlink>
      <w:r w:rsidRPr="005B46A2">
        <w:rPr>
          <w:rFonts w:ascii="Gill Sans MT" w:eastAsia="Times New Roman" w:hAnsi="Gill Sans MT" w:cs="Times New Roman"/>
          <w:sz w:val="24"/>
          <w:szCs w:val="24"/>
          <w:lang w:eastAsia="fr-BE"/>
        </w:rPr>
        <w:t xml:space="preserve"> - </w:t>
      </w:r>
    </w:p>
    <w:p w14:paraId="0C8416F3" w14:textId="77777777" w:rsidR="00414B9E" w:rsidRPr="005B46A2" w:rsidRDefault="00414B9E" w:rsidP="00414B9E">
      <w:pPr>
        <w:spacing w:before="100" w:beforeAutospacing="1" w:after="100" w:afterAutospacing="1" w:line="240" w:lineRule="auto"/>
        <w:rPr>
          <w:rFonts w:ascii="Gill Sans MT" w:eastAsia="Times New Roman" w:hAnsi="Gill Sans MT" w:cs="Times New Roman"/>
          <w:sz w:val="24"/>
          <w:szCs w:val="24"/>
          <w:lang w:eastAsia="fr-BE"/>
        </w:rPr>
      </w:pPr>
    </w:p>
    <w:p w14:paraId="399206CA" w14:textId="56BD806A" w:rsidR="00414B9E" w:rsidRPr="005B46A2" w:rsidRDefault="00414B9E" w:rsidP="005B46A2">
      <w:pPr>
        <w:spacing w:before="100" w:beforeAutospacing="1" w:after="100" w:afterAutospacing="1" w:line="264" w:lineRule="auto"/>
        <w:rPr>
          <w:rFonts w:ascii="Gill Sans MT" w:eastAsia="Times New Roman" w:hAnsi="Gill Sans MT" w:cs="Times New Roman"/>
          <w:sz w:val="24"/>
          <w:szCs w:val="24"/>
          <w:lang w:eastAsia="fr-BE"/>
        </w:rPr>
      </w:pPr>
      <w:r w:rsidRPr="005B46A2">
        <w:rPr>
          <w:rFonts w:ascii="Gill Sans MT" w:eastAsia="Times New Roman" w:hAnsi="Gill Sans MT" w:cs="Times New Roman"/>
          <w:sz w:val="24"/>
          <w:szCs w:val="24"/>
          <w:lang w:eastAsia="fr-BE"/>
        </w:rPr>
        <w:t xml:space="preserve">Comme on installe des barrières sonores pour écarter les chiens méchants, la ville de Courtrai a décidé d’utiliser le </w:t>
      </w:r>
      <w:proofErr w:type="spellStart"/>
      <w:r w:rsidRPr="005B46A2">
        <w:rPr>
          <w:rFonts w:ascii="Gill Sans MT" w:eastAsia="Times New Roman" w:hAnsi="Gill Sans MT" w:cs="Times New Roman"/>
          <w:sz w:val="24"/>
          <w:szCs w:val="24"/>
          <w:lang w:eastAsia="fr-BE"/>
        </w:rPr>
        <w:t>son</w:t>
      </w:r>
      <w:proofErr w:type="spellEnd"/>
      <w:r w:rsidRPr="005B46A2">
        <w:rPr>
          <w:rFonts w:ascii="Gill Sans MT" w:eastAsia="Times New Roman" w:hAnsi="Gill Sans MT" w:cs="Times New Roman"/>
          <w:sz w:val="24"/>
          <w:szCs w:val="24"/>
          <w:lang w:eastAsia="fr-BE"/>
        </w:rPr>
        <w:t xml:space="preserve"> pour faire fuir les jeunes des parcs de la ville. Un procédé qui rappelle celui du Mosquito</w:t>
      </w:r>
      <w:r w:rsidR="00B422C9" w:rsidRPr="005B46A2">
        <w:rPr>
          <w:rStyle w:val="Appelnotedebasdep"/>
          <w:rFonts w:ascii="Gill Sans MT" w:eastAsia="Times New Roman" w:hAnsi="Gill Sans MT" w:cs="Times New Roman"/>
          <w:sz w:val="24"/>
          <w:szCs w:val="24"/>
          <w:lang w:eastAsia="fr-BE"/>
        </w:rPr>
        <w:footnoteReference w:id="1"/>
      </w:r>
      <w:r w:rsidRPr="005B46A2">
        <w:rPr>
          <w:rFonts w:ascii="Gill Sans MT" w:eastAsia="Times New Roman" w:hAnsi="Gill Sans MT" w:cs="Times New Roman"/>
          <w:sz w:val="24"/>
          <w:szCs w:val="24"/>
          <w:lang w:eastAsia="fr-BE"/>
        </w:rPr>
        <w:t>, dénoncé avec virulence à l’époque et qui avait finalement été interdit</w:t>
      </w:r>
      <w:r w:rsidR="00936DD9" w:rsidRPr="005B46A2">
        <w:rPr>
          <w:rFonts w:ascii="Gill Sans MT" w:eastAsia="Times New Roman" w:hAnsi="Gill Sans MT" w:cs="Times New Roman"/>
          <w:sz w:val="24"/>
          <w:szCs w:val="24"/>
          <w:lang w:eastAsia="fr-BE"/>
        </w:rPr>
        <w:t xml:space="preserve"> </w:t>
      </w:r>
      <w:r w:rsidRPr="005B46A2">
        <w:rPr>
          <w:rFonts w:ascii="Gill Sans MT" w:eastAsia="Times New Roman" w:hAnsi="Gill Sans MT" w:cs="Times New Roman"/>
          <w:sz w:val="24"/>
          <w:szCs w:val="24"/>
          <w:lang w:eastAsia="fr-BE"/>
        </w:rPr>
        <w:t xml:space="preserve">! Le </w:t>
      </w:r>
      <w:hyperlink r:id="rId8" w:tooltip="Posts tagged with conseil de la jeunesse" w:history="1">
        <w:r w:rsidRPr="005B46A2">
          <w:rPr>
            <w:rFonts w:ascii="Gill Sans MT" w:eastAsia="Times New Roman" w:hAnsi="Gill Sans MT" w:cs="Times New Roman"/>
            <w:sz w:val="24"/>
            <w:szCs w:val="24"/>
            <w:lang w:eastAsia="fr-BE"/>
          </w:rPr>
          <w:t>Conseil de la Jeunesse</w:t>
        </w:r>
      </w:hyperlink>
      <w:r w:rsidR="00936DD9" w:rsidRPr="005B46A2">
        <w:rPr>
          <w:rStyle w:val="Appelnotedebasdep"/>
          <w:rFonts w:ascii="Gill Sans MT" w:eastAsia="Times New Roman" w:hAnsi="Gill Sans MT" w:cs="Times New Roman"/>
          <w:sz w:val="24"/>
          <w:szCs w:val="24"/>
          <w:lang w:eastAsia="fr-BE"/>
        </w:rPr>
        <w:footnoteReference w:id="2"/>
      </w:r>
      <w:r w:rsidRPr="005B46A2">
        <w:rPr>
          <w:rFonts w:ascii="Gill Sans MT" w:eastAsia="Times New Roman" w:hAnsi="Gill Sans MT" w:cs="Times New Roman"/>
          <w:sz w:val="24"/>
          <w:szCs w:val="24"/>
          <w:lang w:eastAsia="fr-BE"/>
        </w:rPr>
        <w:t xml:space="preserve"> déplore cette nouvelle initiative qui, une fois de plus, témoigne des clichés dont sont victimes les jeunes.</w:t>
      </w:r>
    </w:p>
    <w:p w14:paraId="5B346EA7" w14:textId="0E67E916" w:rsidR="00414B9E" w:rsidRPr="005B46A2" w:rsidRDefault="00414B9E" w:rsidP="005B46A2">
      <w:pPr>
        <w:spacing w:before="100" w:beforeAutospacing="1" w:after="100" w:afterAutospacing="1" w:line="264" w:lineRule="auto"/>
        <w:rPr>
          <w:rFonts w:ascii="Gill Sans MT" w:eastAsia="Times New Roman" w:hAnsi="Gill Sans MT" w:cs="Times New Roman"/>
          <w:sz w:val="24"/>
          <w:szCs w:val="24"/>
          <w:lang w:eastAsia="fr-BE"/>
        </w:rPr>
      </w:pPr>
      <w:r w:rsidRPr="005B46A2">
        <w:rPr>
          <w:rFonts w:ascii="Gill Sans MT" w:eastAsia="Times New Roman" w:hAnsi="Gill Sans MT" w:cs="Times New Roman"/>
          <w:sz w:val="24"/>
          <w:szCs w:val="24"/>
          <w:lang w:eastAsia="fr-BE"/>
        </w:rPr>
        <w:t xml:space="preserve">En réaction à la mesure proposée par le bourgmestre de Courtrai, </w:t>
      </w:r>
      <w:proofErr w:type="spellStart"/>
      <w:r w:rsidRPr="005B46A2">
        <w:rPr>
          <w:rFonts w:ascii="Gill Sans MT" w:eastAsia="Times New Roman" w:hAnsi="Gill Sans MT" w:cs="Times New Roman"/>
          <w:sz w:val="24"/>
          <w:szCs w:val="24"/>
          <w:lang w:eastAsia="fr-BE"/>
        </w:rPr>
        <w:t>Stefaan</w:t>
      </w:r>
      <w:proofErr w:type="spellEnd"/>
      <w:r w:rsidRPr="005B46A2">
        <w:rPr>
          <w:rFonts w:ascii="Gill Sans MT" w:eastAsia="Times New Roman" w:hAnsi="Gill Sans MT" w:cs="Times New Roman"/>
          <w:sz w:val="24"/>
          <w:szCs w:val="24"/>
          <w:lang w:eastAsia="fr-BE"/>
        </w:rPr>
        <w:t xml:space="preserve"> De </w:t>
      </w:r>
      <w:proofErr w:type="spellStart"/>
      <w:r w:rsidRPr="005B46A2">
        <w:rPr>
          <w:rFonts w:ascii="Gill Sans MT" w:eastAsia="Times New Roman" w:hAnsi="Gill Sans MT" w:cs="Times New Roman"/>
          <w:sz w:val="24"/>
          <w:szCs w:val="24"/>
          <w:lang w:eastAsia="fr-BE"/>
        </w:rPr>
        <w:t>Clerck</w:t>
      </w:r>
      <w:proofErr w:type="spellEnd"/>
      <w:r w:rsidRPr="005B46A2">
        <w:rPr>
          <w:rFonts w:ascii="Gill Sans MT" w:eastAsia="Times New Roman" w:hAnsi="Gill Sans MT" w:cs="Times New Roman"/>
          <w:sz w:val="24"/>
          <w:szCs w:val="24"/>
          <w:lang w:eastAsia="fr-BE"/>
        </w:rPr>
        <w:t>, vendredi dernier</w:t>
      </w:r>
      <w:r w:rsidR="00936DD9" w:rsidRPr="005B46A2">
        <w:rPr>
          <w:rFonts w:ascii="Gill Sans MT" w:eastAsia="Times New Roman" w:hAnsi="Gill Sans MT" w:cs="Times New Roman"/>
          <w:sz w:val="24"/>
          <w:szCs w:val="24"/>
          <w:lang w:eastAsia="fr-BE"/>
        </w:rPr>
        <w:t xml:space="preserve"> </w:t>
      </w:r>
      <w:r w:rsidRPr="005B46A2">
        <w:rPr>
          <w:rFonts w:ascii="Gill Sans MT" w:eastAsia="Times New Roman" w:hAnsi="Gill Sans MT" w:cs="Times New Roman"/>
          <w:sz w:val="24"/>
          <w:szCs w:val="24"/>
          <w:lang w:eastAsia="fr-BE"/>
        </w:rPr>
        <w:t>; mesure visant à diffuser de la musique classique dans les parcs où se rassemblent les jeunes, le Conseil de la Jeunesse relève que ce genre de décisions participe au renforcement d’une image négative, grossière et fausse de la jeunesse. Aujourd’hui, la société considère la jeunesse comme une masse dangereuse, imprévisible et incontrôlable. Au lieu de les stigmatiser, le Conseil préfère soutenir d’autres initiatives comme celle qui donne accès aux jeunes à l’opéra ou au théâtre pour des prix réduits.</w:t>
      </w:r>
    </w:p>
    <w:p w14:paraId="5D6B49FF" w14:textId="2EE76FCF" w:rsidR="00414B9E" w:rsidRPr="005B46A2" w:rsidRDefault="00414B9E" w:rsidP="005B46A2">
      <w:pPr>
        <w:spacing w:before="100" w:beforeAutospacing="1" w:after="100" w:afterAutospacing="1" w:line="264" w:lineRule="auto"/>
        <w:rPr>
          <w:rFonts w:ascii="Gill Sans MT" w:eastAsia="Times New Roman" w:hAnsi="Gill Sans MT" w:cs="Times New Roman"/>
          <w:sz w:val="24"/>
          <w:szCs w:val="24"/>
          <w:lang w:eastAsia="fr-BE"/>
        </w:rPr>
      </w:pPr>
      <w:r w:rsidRPr="005B46A2">
        <w:rPr>
          <w:rFonts w:ascii="Gill Sans MT" w:eastAsia="Times New Roman" w:hAnsi="Gill Sans MT" w:cs="Times New Roman"/>
          <w:sz w:val="24"/>
          <w:szCs w:val="24"/>
          <w:lang w:eastAsia="fr-BE"/>
        </w:rPr>
        <w:t>Une fois de plus, ce genre d’initiative renvoie aux jeunes des réponses inadéquates. Au contraire pourquoi ne pas plutôt promouvoir les bienfaits des échanges intergénérationnels. Alors que l’Europe développe des milliers d’actions dans ce sens cette année à l’occasion de l’année européenne de l’</w:t>
      </w:r>
      <w:hyperlink r:id="rId9" w:tooltip="Posts tagged with intergénérationnel" w:history="1">
        <w:r w:rsidRPr="005B46A2">
          <w:rPr>
            <w:rFonts w:ascii="Gill Sans MT" w:eastAsia="Times New Roman" w:hAnsi="Gill Sans MT" w:cs="Times New Roman"/>
            <w:sz w:val="24"/>
            <w:szCs w:val="24"/>
            <w:lang w:eastAsia="fr-BE"/>
          </w:rPr>
          <w:t>intergénérationnel</w:t>
        </w:r>
      </w:hyperlink>
      <w:r w:rsidRPr="005B46A2">
        <w:rPr>
          <w:rFonts w:ascii="Gill Sans MT" w:eastAsia="Times New Roman" w:hAnsi="Gill Sans MT" w:cs="Times New Roman"/>
          <w:sz w:val="24"/>
          <w:szCs w:val="24"/>
          <w:lang w:eastAsia="fr-BE"/>
        </w:rPr>
        <w:t>, la société se voit proposer systématiquement de catégoriser les générations. Les endroits publics, comme les parcs, sont pourtant des endroits propices pour permettre ces échanges. Les efforts concentrés autour de cette volonté d’échange et de partage ne peuvent être freinés par des décisions absurdes censées trouver des solutions à des problèmes d’insécurité.</w:t>
      </w:r>
    </w:p>
    <w:p w14:paraId="7802AA01" w14:textId="77777777" w:rsidR="00414B9E" w:rsidRPr="005B46A2" w:rsidRDefault="00414B9E" w:rsidP="005B46A2">
      <w:pPr>
        <w:spacing w:before="100" w:beforeAutospacing="1" w:after="100" w:afterAutospacing="1" w:line="264" w:lineRule="auto"/>
        <w:rPr>
          <w:rFonts w:ascii="Gill Sans MT" w:eastAsia="Times New Roman" w:hAnsi="Gill Sans MT" w:cs="Times New Roman"/>
          <w:sz w:val="24"/>
          <w:szCs w:val="24"/>
          <w:lang w:eastAsia="fr-BE"/>
        </w:rPr>
      </w:pPr>
      <w:r w:rsidRPr="005B46A2">
        <w:rPr>
          <w:rFonts w:ascii="Gill Sans MT" w:eastAsia="Times New Roman" w:hAnsi="Gill Sans MT" w:cs="Times New Roman"/>
          <w:sz w:val="24"/>
          <w:szCs w:val="24"/>
          <w:lang w:eastAsia="fr-BE"/>
        </w:rPr>
        <w:t>Le Conseil de la Jeunesse rappelle aussi qu’investir dans les dynamiques associatives qui entourent les jeunes, et particulièrement les Organisations de Jeunesse et les Centres de jeunes, c’est donner plus de chances aux jeunes de se construire dans une société qui les prend en considération plutôt qu’une société qui les disqualifie.</w:t>
      </w:r>
    </w:p>
    <w:p w14:paraId="02C10666" w14:textId="77777777" w:rsidR="005B46A2" w:rsidRDefault="005B46A2" w:rsidP="005B46A2">
      <w:pPr>
        <w:spacing w:before="79"/>
        <w:ind w:left="463"/>
        <w:jc w:val="center"/>
        <w:rPr>
          <w:rFonts w:ascii="Gill Sans MT" w:hAnsi="Gill Sans MT"/>
        </w:rPr>
      </w:pPr>
      <w:r w:rsidRPr="005B46A2">
        <w:rPr>
          <w:rFonts w:ascii="Gill Sans MT" w:hAnsi="Gill Sans MT"/>
        </w:rPr>
        <w:lastRenderedPageBreak/>
        <w:tab/>
      </w:r>
    </w:p>
    <w:p w14:paraId="4324F8C2" w14:textId="77777777" w:rsidR="005B46A2" w:rsidRDefault="005B46A2" w:rsidP="005B46A2">
      <w:pPr>
        <w:spacing w:before="79"/>
        <w:ind w:left="463"/>
        <w:jc w:val="center"/>
        <w:rPr>
          <w:rFonts w:ascii="Gill Sans MT" w:hAnsi="Gill Sans MT"/>
        </w:rPr>
      </w:pPr>
    </w:p>
    <w:p w14:paraId="6FAC3057" w14:textId="421F3AF1" w:rsidR="005B46A2" w:rsidRPr="005B46A2" w:rsidRDefault="005B46A2" w:rsidP="005B46A2">
      <w:pPr>
        <w:spacing w:before="79"/>
        <w:ind w:left="463"/>
        <w:jc w:val="center"/>
        <w:rPr>
          <w:rFonts w:ascii="Gill Sans MT" w:eastAsia="Times New Roman" w:hAnsi="Gill Sans MT" w:cs="Times New Roman"/>
          <w:b/>
          <w:sz w:val="32"/>
          <w:lang w:val="en-US"/>
        </w:rPr>
      </w:pPr>
      <w:r w:rsidRPr="005B46A2">
        <w:rPr>
          <w:rFonts w:ascii="Gill Sans MT" w:eastAsia="Times New Roman" w:hAnsi="Gill Sans MT" w:cs="Times New Roman"/>
          <w:b/>
          <w:sz w:val="32"/>
          <w:lang w:val="en-US"/>
        </w:rPr>
        <w:t xml:space="preserve">Résumé de </w:t>
      </w:r>
      <w:proofErr w:type="spellStart"/>
      <w:r w:rsidRPr="005B46A2">
        <w:rPr>
          <w:rFonts w:ascii="Gill Sans MT" w:eastAsia="Times New Roman" w:hAnsi="Gill Sans MT" w:cs="Times New Roman"/>
          <w:b/>
          <w:sz w:val="32"/>
          <w:lang w:val="en-US"/>
        </w:rPr>
        <w:t>texte</w:t>
      </w:r>
      <w:proofErr w:type="spellEnd"/>
    </w:p>
    <w:p w14:paraId="3BC76B92" w14:textId="77777777" w:rsidR="005B46A2" w:rsidRPr="005B46A2" w:rsidRDefault="005B46A2" w:rsidP="005B46A2">
      <w:pPr>
        <w:widowControl w:val="0"/>
        <w:autoSpaceDE w:val="0"/>
        <w:autoSpaceDN w:val="0"/>
        <w:spacing w:before="3" w:after="0" w:line="240" w:lineRule="auto"/>
        <w:rPr>
          <w:rFonts w:ascii="Gill Sans MT" w:eastAsia="Times New Roman" w:hAnsi="Gill Sans MT" w:cs="Times New Roman"/>
          <w:b/>
          <w:sz w:val="20"/>
          <w:szCs w:val="24"/>
          <w:lang w:val="en-US"/>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70"/>
        <w:gridCol w:w="3072"/>
        <w:gridCol w:w="3130"/>
      </w:tblGrid>
      <w:tr w:rsidR="005B46A2" w:rsidRPr="005B46A2" w14:paraId="517D81C9" w14:textId="77777777" w:rsidTr="00B87BCC">
        <w:trPr>
          <w:trHeight w:val="577"/>
        </w:trPr>
        <w:tc>
          <w:tcPr>
            <w:tcW w:w="3070" w:type="dxa"/>
            <w:tcBorders>
              <w:left w:val="single" w:sz="4" w:space="0" w:color="000000"/>
              <w:right w:val="single" w:sz="4" w:space="0" w:color="000000"/>
            </w:tcBorders>
          </w:tcPr>
          <w:p w14:paraId="6C76A484" w14:textId="77777777" w:rsidR="005B46A2" w:rsidRPr="005B46A2" w:rsidRDefault="005B46A2" w:rsidP="005B46A2">
            <w:pPr>
              <w:spacing w:line="284" w:lineRule="exact"/>
              <w:ind w:left="69"/>
              <w:rPr>
                <w:rFonts w:ascii="Gill Sans MT" w:hAnsi="Gill Sans MT"/>
                <w:b/>
                <w:sz w:val="26"/>
              </w:rPr>
            </w:pPr>
            <w:proofErr w:type="spellStart"/>
            <w:r w:rsidRPr="005B46A2">
              <w:rPr>
                <w:rFonts w:ascii="Gill Sans MT" w:hAnsi="Gill Sans MT"/>
                <w:b/>
                <w:sz w:val="26"/>
              </w:rPr>
              <w:t>Critères</w:t>
            </w:r>
            <w:proofErr w:type="spellEnd"/>
          </w:p>
        </w:tc>
        <w:tc>
          <w:tcPr>
            <w:tcW w:w="3072" w:type="dxa"/>
            <w:tcBorders>
              <w:left w:val="single" w:sz="4" w:space="0" w:color="000000"/>
              <w:right w:val="single" w:sz="4" w:space="0" w:color="000000"/>
            </w:tcBorders>
          </w:tcPr>
          <w:p w14:paraId="1E924C0C" w14:textId="77777777" w:rsidR="005B46A2" w:rsidRPr="005B46A2" w:rsidRDefault="005B46A2" w:rsidP="005B46A2">
            <w:pPr>
              <w:spacing w:line="284" w:lineRule="exact"/>
              <w:ind w:left="73"/>
              <w:rPr>
                <w:rFonts w:ascii="Gill Sans MT" w:hAnsi="Gill Sans MT"/>
                <w:b/>
                <w:sz w:val="26"/>
              </w:rPr>
            </w:pPr>
            <w:proofErr w:type="spellStart"/>
            <w:r w:rsidRPr="005B46A2">
              <w:rPr>
                <w:rFonts w:ascii="Gill Sans MT" w:hAnsi="Gill Sans MT"/>
                <w:b/>
                <w:sz w:val="26"/>
              </w:rPr>
              <w:t>Indicateurs</w:t>
            </w:r>
            <w:proofErr w:type="spellEnd"/>
          </w:p>
        </w:tc>
        <w:tc>
          <w:tcPr>
            <w:tcW w:w="3130" w:type="dxa"/>
            <w:tcBorders>
              <w:left w:val="single" w:sz="4" w:space="0" w:color="000000"/>
              <w:right w:val="single" w:sz="4" w:space="0" w:color="000000"/>
            </w:tcBorders>
          </w:tcPr>
          <w:p w14:paraId="6D7C3801" w14:textId="77777777" w:rsidR="005B46A2" w:rsidRPr="005B46A2" w:rsidRDefault="005B46A2" w:rsidP="005B46A2">
            <w:pPr>
              <w:spacing w:line="284" w:lineRule="exact"/>
              <w:ind w:left="71"/>
              <w:rPr>
                <w:rFonts w:ascii="Gill Sans MT" w:hAnsi="Gill Sans MT"/>
                <w:b/>
                <w:sz w:val="26"/>
              </w:rPr>
            </w:pPr>
            <w:proofErr w:type="spellStart"/>
            <w:r w:rsidRPr="005B46A2">
              <w:rPr>
                <w:rFonts w:ascii="Gill Sans MT" w:hAnsi="Gill Sans MT"/>
                <w:b/>
                <w:sz w:val="26"/>
              </w:rPr>
              <w:t>Évaluation</w:t>
            </w:r>
            <w:proofErr w:type="spellEnd"/>
          </w:p>
        </w:tc>
      </w:tr>
      <w:tr w:rsidR="005B46A2" w:rsidRPr="005B46A2" w14:paraId="057988F7" w14:textId="77777777" w:rsidTr="00B87BCC">
        <w:trPr>
          <w:trHeight w:val="740"/>
        </w:trPr>
        <w:tc>
          <w:tcPr>
            <w:tcW w:w="3070" w:type="dxa"/>
            <w:tcBorders>
              <w:left w:val="single" w:sz="4" w:space="0" w:color="000000"/>
              <w:right w:val="single" w:sz="4" w:space="0" w:color="000000"/>
            </w:tcBorders>
          </w:tcPr>
          <w:p w14:paraId="56E8ECEF" w14:textId="77777777" w:rsidR="005B46A2" w:rsidRPr="005B46A2" w:rsidRDefault="005B46A2" w:rsidP="005B46A2">
            <w:pPr>
              <w:spacing w:line="284" w:lineRule="exact"/>
              <w:ind w:left="69"/>
              <w:rPr>
                <w:rFonts w:ascii="Gill Sans MT" w:hAnsi="Gill Sans MT"/>
                <w:b/>
                <w:sz w:val="26"/>
              </w:rPr>
            </w:pPr>
            <w:r w:rsidRPr="005B46A2">
              <w:rPr>
                <w:rFonts w:ascii="Gill Sans MT" w:hAnsi="Gill Sans MT"/>
                <w:b/>
                <w:sz w:val="26"/>
              </w:rPr>
              <w:t>Structure</w:t>
            </w:r>
          </w:p>
        </w:tc>
        <w:tc>
          <w:tcPr>
            <w:tcW w:w="3072" w:type="dxa"/>
            <w:tcBorders>
              <w:left w:val="single" w:sz="4" w:space="0" w:color="000000"/>
              <w:right w:val="single" w:sz="4" w:space="0" w:color="000000"/>
            </w:tcBorders>
          </w:tcPr>
          <w:p w14:paraId="40D682C3" w14:textId="77777777" w:rsidR="005B46A2" w:rsidRPr="005B46A2" w:rsidRDefault="005B46A2" w:rsidP="005B46A2">
            <w:pPr>
              <w:numPr>
                <w:ilvl w:val="0"/>
                <w:numId w:val="3"/>
              </w:numPr>
              <w:tabs>
                <w:tab w:val="left" w:pos="433"/>
                <w:tab w:val="left" w:pos="434"/>
              </w:tabs>
              <w:spacing w:line="242" w:lineRule="exact"/>
              <w:rPr>
                <w:rFonts w:ascii="Gill Sans MT" w:hAnsi="Gill Sans MT"/>
              </w:rPr>
            </w:pPr>
            <w:r w:rsidRPr="005B46A2">
              <w:rPr>
                <w:rFonts w:ascii="Gill Sans MT" w:hAnsi="Gill Sans MT"/>
              </w:rPr>
              <w:t xml:space="preserve">Division </w:t>
            </w:r>
            <w:proofErr w:type="spellStart"/>
            <w:r w:rsidRPr="005B46A2">
              <w:rPr>
                <w:rFonts w:ascii="Gill Sans MT" w:hAnsi="Gill Sans MT"/>
              </w:rPr>
              <w:t>en</w:t>
            </w:r>
            <w:proofErr w:type="spellEnd"/>
            <w:r w:rsidRPr="005B46A2">
              <w:rPr>
                <w:rFonts w:ascii="Gill Sans MT" w:hAnsi="Gill Sans MT"/>
              </w:rPr>
              <w:t xml:space="preserve"> </w:t>
            </w:r>
            <w:proofErr w:type="spellStart"/>
            <w:r w:rsidRPr="005B46A2">
              <w:rPr>
                <w:rFonts w:ascii="Gill Sans MT" w:hAnsi="Gill Sans MT"/>
              </w:rPr>
              <w:t>paragraphes</w:t>
            </w:r>
            <w:proofErr w:type="spellEnd"/>
            <w:r w:rsidRPr="005B46A2">
              <w:rPr>
                <w:rFonts w:ascii="Gill Sans MT" w:hAnsi="Gill Sans MT"/>
                <w:spacing w:val="-5"/>
              </w:rPr>
              <w:t xml:space="preserve"> </w:t>
            </w:r>
            <w:proofErr w:type="spellStart"/>
            <w:r w:rsidRPr="005B46A2">
              <w:rPr>
                <w:rFonts w:ascii="Gill Sans MT" w:hAnsi="Gill Sans MT"/>
              </w:rPr>
              <w:t>si</w:t>
            </w:r>
            <w:proofErr w:type="spellEnd"/>
          </w:p>
          <w:p w14:paraId="006348F0" w14:textId="77777777" w:rsidR="005B46A2" w:rsidRPr="005B46A2" w:rsidRDefault="005B46A2" w:rsidP="005B46A2">
            <w:pPr>
              <w:spacing w:before="157"/>
              <w:ind w:left="433"/>
              <w:rPr>
                <w:rFonts w:ascii="Gill Sans MT" w:hAnsi="Gill Sans MT"/>
              </w:rPr>
            </w:pPr>
            <w:proofErr w:type="spellStart"/>
            <w:r w:rsidRPr="005B46A2">
              <w:rPr>
                <w:rFonts w:ascii="Gill Sans MT" w:hAnsi="Gill Sans MT"/>
              </w:rPr>
              <w:t>nécessaire</w:t>
            </w:r>
            <w:proofErr w:type="spellEnd"/>
          </w:p>
        </w:tc>
        <w:tc>
          <w:tcPr>
            <w:tcW w:w="3130" w:type="dxa"/>
            <w:tcBorders>
              <w:left w:val="single" w:sz="4" w:space="0" w:color="000000"/>
              <w:right w:val="single" w:sz="4" w:space="0" w:color="000000"/>
            </w:tcBorders>
          </w:tcPr>
          <w:p w14:paraId="7BF1C759" w14:textId="77777777" w:rsidR="005B46A2" w:rsidRPr="005B46A2" w:rsidRDefault="005B46A2" w:rsidP="005B46A2">
            <w:pPr>
              <w:rPr>
                <w:rFonts w:ascii="Gill Sans MT" w:hAnsi="Gill Sans MT"/>
              </w:rPr>
            </w:pPr>
          </w:p>
        </w:tc>
      </w:tr>
      <w:tr w:rsidR="005B46A2" w:rsidRPr="005B46A2" w14:paraId="1779E69F" w14:textId="77777777" w:rsidTr="00B87BCC">
        <w:trPr>
          <w:trHeight w:val="4549"/>
        </w:trPr>
        <w:tc>
          <w:tcPr>
            <w:tcW w:w="3070" w:type="dxa"/>
            <w:tcBorders>
              <w:left w:val="single" w:sz="4" w:space="0" w:color="000000"/>
              <w:right w:val="single" w:sz="4" w:space="0" w:color="000000"/>
            </w:tcBorders>
          </w:tcPr>
          <w:p w14:paraId="22880F53" w14:textId="77777777" w:rsidR="005B46A2" w:rsidRPr="005B46A2" w:rsidRDefault="005B46A2" w:rsidP="005B46A2">
            <w:pPr>
              <w:spacing w:line="284" w:lineRule="exact"/>
              <w:ind w:left="69"/>
              <w:rPr>
                <w:rFonts w:ascii="Gill Sans MT" w:hAnsi="Gill Sans MT"/>
                <w:b/>
                <w:sz w:val="26"/>
              </w:rPr>
            </w:pPr>
            <w:r w:rsidRPr="005B46A2">
              <w:rPr>
                <w:rFonts w:ascii="Gill Sans MT" w:hAnsi="Gill Sans MT"/>
                <w:b/>
                <w:sz w:val="26"/>
              </w:rPr>
              <w:t xml:space="preserve">Respect du </w:t>
            </w:r>
            <w:proofErr w:type="gramStart"/>
            <w:r w:rsidRPr="005B46A2">
              <w:rPr>
                <w:rFonts w:ascii="Gill Sans MT" w:hAnsi="Gill Sans MT"/>
                <w:b/>
                <w:sz w:val="26"/>
              </w:rPr>
              <w:t>genre :</w:t>
            </w:r>
            <w:proofErr w:type="gramEnd"/>
          </w:p>
        </w:tc>
        <w:tc>
          <w:tcPr>
            <w:tcW w:w="3072" w:type="dxa"/>
            <w:tcBorders>
              <w:left w:val="single" w:sz="4" w:space="0" w:color="000000"/>
              <w:right w:val="single" w:sz="4" w:space="0" w:color="000000"/>
            </w:tcBorders>
          </w:tcPr>
          <w:p w14:paraId="58C0A157" w14:textId="77777777" w:rsidR="005B46A2" w:rsidRPr="005B46A2" w:rsidRDefault="005B46A2" w:rsidP="005B46A2">
            <w:pPr>
              <w:numPr>
                <w:ilvl w:val="0"/>
                <w:numId w:val="2"/>
              </w:numPr>
              <w:tabs>
                <w:tab w:val="left" w:pos="433"/>
                <w:tab w:val="left" w:pos="434"/>
              </w:tabs>
              <w:spacing w:line="239" w:lineRule="exact"/>
              <w:rPr>
                <w:rFonts w:ascii="Gill Sans MT" w:hAnsi="Gill Sans MT"/>
                <w:lang w:val="fr-BE"/>
              </w:rPr>
            </w:pPr>
            <w:r w:rsidRPr="005B46A2">
              <w:rPr>
                <w:rFonts w:ascii="Gill Sans MT" w:hAnsi="Gill Sans MT"/>
                <w:lang w:val="fr-BE"/>
              </w:rPr>
              <w:t>Respect de la longueur</w:t>
            </w:r>
            <w:r w:rsidRPr="005B46A2">
              <w:rPr>
                <w:rFonts w:ascii="Gill Sans MT" w:hAnsi="Gill Sans MT"/>
                <w:spacing w:val="-4"/>
                <w:lang w:val="fr-BE"/>
              </w:rPr>
              <w:t xml:space="preserve"> </w:t>
            </w:r>
            <w:r w:rsidRPr="005B46A2">
              <w:rPr>
                <w:rFonts w:ascii="Gill Sans MT" w:hAnsi="Gill Sans MT"/>
                <w:lang w:val="fr-BE"/>
              </w:rPr>
              <w:t>(le</w:t>
            </w:r>
            <w:r w:rsidRPr="005B46A2">
              <w:rPr>
                <w:rFonts w:ascii="Gill Sans MT" w:hAnsi="Gill Sans MT"/>
                <w:lang w:val="fr-BE"/>
              </w:rPr>
              <w:br/>
              <w:t>cinquième avec une marge de 10 %)</w:t>
            </w:r>
          </w:p>
          <w:p w14:paraId="70FA7DAA" w14:textId="77777777" w:rsidR="005B46A2" w:rsidRPr="005B46A2" w:rsidRDefault="005B46A2" w:rsidP="005B46A2">
            <w:pPr>
              <w:tabs>
                <w:tab w:val="left" w:pos="433"/>
                <w:tab w:val="left" w:pos="434"/>
              </w:tabs>
              <w:spacing w:line="239" w:lineRule="exact"/>
              <w:ind w:left="433"/>
              <w:rPr>
                <w:rFonts w:ascii="Gill Sans MT" w:hAnsi="Gill Sans MT"/>
                <w:lang w:val="fr-BE"/>
              </w:rPr>
            </w:pPr>
          </w:p>
          <w:p w14:paraId="54B3D4A6" w14:textId="77777777" w:rsidR="005B46A2" w:rsidRPr="005B46A2" w:rsidRDefault="005B46A2" w:rsidP="005B46A2">
            <w:pPr>
              <w:numPr>
                <w:ilvl w:val="0"/>
                <w:numId w:val="2"/>
              </w:numPr>
              <w:tabs>
                <w:tab w:val="left" w:pos="433"/>
                <w:tab w:val="left" w:pos="434"/>
              </w:tabs>
              <w:spacing w:before="2" w:line="259" w:lineRule="auto"/>
              <w:ind w:right="521"/>
              <w:rPr>
                <w:rFonts w:ascii="Gill Sans MT" w:hAnsi="Gill Sans MT"/>
                <w:lang w:val="fr-BE"/>
              </w:rPr>
            </w:pPr>
            <w:r w:rsidRPr="005B46A2">
              <w:rPr>
                <w:rFonts w:ascii="Gill Sans MT" w:hAnsi="Gill Sans MT"/>
                <w:lang w:val="fr-BE"/>
              </w:rPr>
              <w:t>Fidélité au texte (pas de contresens, pas</w:t>
            </w:r>
            <w:r w:rsidRPr="005B46A2">
              <w:rPr>
                <w:rFonts w:ascii="Gill Sans MT" w:hAnsi="Gill Sans MT"/>
                <w:spacing w:val="-4"/>
                <w:lang w:val="fr-BE"/>
              </w:rPr>
              <w:t xml:space="preserve"> </w:t>
            </w:r>
            <w:r w:rsidRPr="005B46A2">
              <w:rPr>
                <w:rFonts w:ascii="Gill Sans MT" w:hAnsi="Gill Sans MT"/>
                <w:lang w:val="fr-BE"/>
              </w:rPr>
              <w:t>d’ajout)</w:t>
            </w:r>
          </w:p>
          <w:p w14:paraId="11F1C1BE" w14:textId="77777777" w:rsidR="005B46A2" w:rsidRPr="005B46A2" w:rsidRDefault="005B46A2" w:rsidP="005B46A2">
            <w:pPr>
              <w:numPr>
                <w:ilvl w:val="0"/>
                <w:numId w:val="2"/>
              </w:numPr>
              <w:tabs>
                <w:tab w:val="left" w:pos="433"/>
                <w:tab w:val="left" w:pos="434"/>
              </w:tabs>
              <w:spacing w:before="160" w:line="259" w:lineRule="auto"/>
              <w:ind w:right="183"/>
              <w:rPr>
                <w:rFonts w:ascii="Gill Sans MT" w:hAnsi="Gill Sans MT"/>
                <w:lang w:val="fr-BE"/>
              </w:rPr>
            </w:pPr>
            <w:r w:rsidRPr="005B46A2">
              <w:rPr>
                <w:rFonts w:ascii="Gill Sans MT" w:hAnsi="Gill Sans MT"/>
                <w:lang w:val="fr-BE"/>
              </w:rPr>
              <w:t>Se centrer sur l’essentiel, ne rien oublier</w:t>
            </w:r>
            <w:r w:rsidRPr="005B46A2">
              <w:rPr>
                <w:rFonts w:ascii="Gill Sans MT" w:hAnsi="Gill Sans MT"/>
                <w:spacing w:val="-3"/>
                <w:lang w:val="fr-BE"/>
              </w:rPr>
              <w:t xml:space="preserve"> </w:t>
            </w:r>
            <w:r w:rsidRPr="005B46A2">
              <w:rPr>
                <w:rFonts w:ascii="Gill Sans MT" w:hAnsi="Gill Sans MT"/>
                <w:lang w:val="fr-BE"/>
              </w:rPr>
              <w:t>d’important</w:t>
            </w:r>
          </w:p>
          <w:p w14:paraId="02A25CE9" w14:textId="77777777" w:rsidR="005B46A2" w:rsidRPr="005B46A2" w:rsidRDefault="005B46A2" w:rsidP="005B46A2">
            <w:pPr>
              <w:numPr>
                <w:ilvl w:val="0"/>
                <w:numId w:val="2"/>
              </w:numPr>
              <w:tabs>
                <w:tab w:val="left" w:pos="433"/>
                <w:tab w:val="left" w:pos="434"/>
              </w:tabs>
              <w:spacing w:before="159" w:line="259" w:lineRule="auto"/>
              <w:ind w:right="113"/>
              <w:rPr>
                <w:rFonts w:ascii="Gill Sans MT" w:hAnsi="Gill Sans MT"/>
                <w:lang w:val="fr-BE"/>
              </w:rPr>
            </w:pPr>
            <w:r w:rsidRPr="005B46A2">
              <w:rPr>
                <w:rFonts w:ascii="Gill Sans MT" w:hAnsi="Gill Sans MT"/>
                <w:lang w:val="fr-BE"/>
              </w:rPr>
              <w:t>Reformuler avec ses propres mots</w:t>
            </w:r>
            <w:r w:rsidRPr="005B46A2">
              <w:rPr>
                <w:rFonts w:ascii="Arial" w:hAnsi="Arial" w:cs="Arial"/>
                <w:lang w:val="fr-BE"/>
              </w:rPr>
              <w:t> </w:t>
            </w:r>
            <w:r w:rsidRPr="005B46A2">
              <w:rPr>
                <w:rFonts w:ascii="Gill Sans MT" w:hAnsi="Gill Sans MT"/>
                <w:lang w:val="fr-BE"/>
              </w:rPr>
              <w:t>; «</w:t>
            </w:r>
            <w:r w:rsidRPr="005B46A2">
              <w:rPr>
                <w:rFonts w:ascii="Arial" w:hAnsi="Arial" w:cs="Arial"/>
                <w:lang w:val="fr-BE"/>
              </w:rPr>
              <w:t> </w:t>
            </w:r>
            <w:r w:rsidRPr="005B46A2">
              <w:rPr>
                <w:rFonts w:ascii="Gill Sans MT" w:hAnsi="Gill Sans MT"/>
                <w:lang w:val="fr-BE"/>
              </w:rPr>
              <w:t>guillemets en cas de citation d’une formule importante du texte</w:t>
            </w:r>
            <w:r w:rsidRPr="005B46A2">
              <w:rPr>
                <w:rFonts w:ascii="Arial" w:hAnsi="Arial" w:cs="Arial"/>
                <w:spacing w:val="-10"/>
                <w:lang w:val="fr-BE"/>
              </w:rPr>
              <w:t> </w:t>
            </w:r>
            <w:r w:rsidRPr="005B46A2">
              <w:rPr>
                <w:rFonts w:ascii="Gill Sans MT" w:hAnsi="Gill Sans MT"/>
                <w:lang w:val="fr-BE"/>
              </w:rPr>
              <w:t>»</w:t>
            </w:r>
          </w:p>
          <w:p w14:paraId="29D303AE" w14:textId="77777777" w:rsidR="005B46A2" w:rsidRPr="005B46A2" w:rsidRDefault="005B46A2" w:rsidP="005B46A2">
            <w:pPr>
              <w:numPr>
                <w:ilvl w:val="0"/>
                <w:numId w:val="2"/>
              </w:numPr>
              <w:tabs>
                <w:tab w:val="left" w:pos="433"/>
                <w:tab w:val="left" w:pos="434"/>
              </w:tabs>
              <w:spacing w:before="160" w:line="259" w:lineRule="auto"/>
              <w:ind w:right="101"/>
              <w:rPr>
                <w:rFonts w:ascii="Gill Sans MT" w:hAnsi="Gill Sans MT"/>
                <w:lang w:val="fr-BE"/>
              </w:rPr>
            </w:pPr>
            <w:r w:rsidRPr="005B46A2">
              <w:rPr>
                <w:rFonts w:ascii="Gill Sans MT" w:hAnsi="Gill Sans MT"/>
                <w:lang w:val="fr-BE"/>
              </w:rPr>
              <w:t>Résumé complet et équilibré (ne pas oublier la fin ou expédier la</w:t>
            </w:r>
            <w:r w:rsidRPr="005B46A2">
              <w:rPr>
                <w:rFonts w:ascii="Gill Sans MT" w:hAnsi="Gill Sans MT"/>
                <w:spacing w:val="-4"/>
                <w:lang w:val="fr-BE"/>
              </w:rPr>
              <w:t xml:space="preserve"> </w:t>
            </w:r>
            <w:r w:rsidRPr="005B46A2">
              <w:rPr>
                <w:rFonts w:ascii="Gill Sans MT" w:hAnsi="Gill Sans MT"/>
                <w:lang w:val="fr-BE"/>
              </w:rPr>
              <w:t>fin)</w:t>
            </w:r>
          </w:p>
        </w:tc>
        <w:tc>
          <w:tcPr>
            <w:tcW w:w="3130" w:type="dxa"/>
            <w:tcBorders>
              <w:left w:val="single" w:sz="4" w:space="0" w:color="000000"/>
              <w:right w:val="single" w:sz="4" w:space="0" w:color="000000"/>
            </w:tcBorders>
          </w:tcPr>
          <w:p w14:paraId="1F40E40F" w14:textId="77777777" w:rsidR="005B46A2" w:rsidRPr="005B46A2" w:rsidRDefault="005B46A2" w:rsidP="005B46A2">
            <w:pPr>
              <w:rPr>
                <w:rFonts w:ascii="Gill Sans MT" w:hAnsi="Gill Sans MT"/>
                <w:lang w:val="fr-BE"/>
              </w:rPr>
            </w:pPr>
          </w:p>
        </w:tc>
      </w:tr>
      <w:tr w:rsidR="005B46A2" w:rsidRPr="005B46A2" w14:paraId="184AB39B" w14:textId="77777777" w:rsidTr="00B87BCC">
        <w:trPr>
          <w:trHeight w:val="1912"/>
        </w:trPr>
        <w:tc>
          <w:tcPr>
            <w:tcW w:w="3070" w:type="dxa"/>
            <w:tcBorders>
              <w:left w:val="single" w:sz="4" w:space="0" w:color="000000"/>
              <w:right w:val="single" w:sz="4" w:space="0" w:color="000000"/>
            </w:tcBorders>
          </w:tcPr>
          <w:p w14:paraId="3A912D11" w14:textId="77777777" w:rsidR="005B46A2" w:rsidRPr="005B46A2" w:rsidRDefault="005B46A2" w:rsidP="005B46A2">
            <w:pPr>
              <w:spacing w:line="284" w:lineRule="exact"/>
              <w:ind w:left="69"/>
              <w:rPr>
                <w:rFonts w:ascii="Gill Sans MT" w:hAnsi="Gill Sans MT"/>
                <w:b/>
                <w:sz w:val="26"/>
              </w:rPr>
            </w:pPr>
            <w:r w:rsidRPr="005B46A2">
              <w:rPr>
                <w:rFonts w:ascii="Gill Sans MT" w:hAnsi="Gill Sans MT"/>
                <w:b/>
                <w:sz w:val="26"/>
              </w:rPr>
              <w:t>Expression</w:t>
            </w:r>
          </w:p>
        </w:tc>
        <w:tc>
          <w:tcPr>
            <w:tcW w:w="3072" w:type="dxa"/>
            <w:tcBorders>
              <w:left w:val="single" w:sz="4" w:space="0" w:color="000000"/>
              <w:right w:val="single" w:sz="4" w:space="0" w:color="000000"/>
            </w:tcBorders>
          </w:tcPr>
          <w:p w14:paraId="6E7AADB4" w14:textId="77777777" w:rsidR="005B46A2" w:rsidRPr="005B46A2" w:rsidRDefault="005B46A2" w:rsidP="005B46A2">
            <w:pPr>
              <w:numPr>
                <w:ilvl w:val="0"/>
                <w:numId w:val="1"/>
              </w:numPr>
              <w:tabs>
                <w:tab w:val="left" w:pos="793"/>
                <w:tab w:val="left" w:pos="794"/>
              </w:tabs>
              <w:spacing w:line="240" w:lineRule="exact"/>
              <w:rPr>
                <w:rFonts w:ascii="Gill Sans MT" w:hAnsi="Gill Sans MT"/>
              </w:rPr>
            </w:pPr>
            <w:proofErr w:type="spellStart"/>
            <w:r w:rsidRPr="005B46A2">
              <w:rPr>
                <w:rFonts w:ascii="Gill Sans MT" w:hAnsi="Gill Sans MT"/>
              </w:rPr>
              <w:t>Syntaxe</w:t>
            </w:r>
            <w:proofErr w:type="spellEnd"/>
            <w:r w:rsidRPr="005B46A2">
              <w:rPr>
                <w:rFonts w:ascii="Gill Sans MT" w:hAnsi="Gill Sans MT"/>
              </w:rPr>
              <w:t xml:space="preserve"> et</w:t>
            </w:r>
            <w:r w:rsidRPr="005B46A2">
              <w:rPr>
                <w:rFonts w:ascii="Gill Sans MT" w:hAnsi="Gill Sans MT"/>
                <w:spacing w:val="-1"/>
              </w:rPr>
              <w:t xml:space="preserve"> </w:t>
            </w:r>
            <w:proofErr w:type="spellStart"/>
            <w:r w:rsidRPr="005B46A2">
              <w:rPr>
                <w:rFonts w:ascii="Gill Sans MT" w:hAnsi="Gill Sans MT"/>
              </w:rPr>
              <w:t>ponctuation</w:t>
            </w:r>
            <w:proofErr w:type="spellEnd"/>
            <w:r w:rsidRPr="005B46A2">
              <w:rPr>
                <w:rFonts w:ascii="Gill Sans MT" w:hAnsi="Gill Sans MT"/>
              </w:rPr>
              <w:br/>
            </w:r>
            <w:proofErr w:type="spellStart"/>
            <w:r w:rsidRPr="005B46A2">
              <w:rPr>
                <w:rFonts w:ascii="Gill Sans MT" w:hAnsi="Gill Sans MT"/>
              </w:rPr>
              <w:t>correctes</w:t>
            </w:r>
            <w:proofErr w:type="spellEnd"/>
          </w:p>
          <w:p w14:paraId="7366CBFF" w14:textId="77777777" w:rsidR="005B46A2" w:rsidRPr="005B46A2" w:rsidRDefault="005B46A2" w:rsidP="005B46A2">
            <w:pPr>
              <w:tabs>
                <w:tab w:val="left" w:pos="793"/>
                <w:tab w:val="left" w:pos="794"/>
              </w:tabs>
              <w:spacing w:line="240" w:lineRule="exact"/>
              <w:ind w:left="793"/>
              <w:rPr>
                <w:rFonts w:ascii="Gill Sans MT" w:hAnsi="Gill Sans MT"/>
              </w:rPr>
            </w:pPr>
          </w:p>
          <w:p w14:paraId="49ACEE59" w14:textId="77777777" w:rsidR="005B46A2" w:rsidRPr="005B46A2" w:rsidRDefault="005B46A2" w:rsidP="005B46A2">
            <w:pPr>
              <w:numPr>
                <w:ilvl w:val="0"/>
                <w:numId w:val="1"/>
              </w:numPr>
              <w:tabs>
                <w:tab w:val="left" w:pos="793"/>
                <w:tab w:val="left" w:pos="795"/>
              </w:tabs>
              <w:spacing w:line="262" w:lineRule="exact"/>
              <w:ind w:left="794" w:hanging="361"/>
              <w:rPr>
                <w:rFonts w:ascii="Gill Sans MT" w:hAnsi="Gill Sans MT"/>
              </w:rPr>
            </w:pPr>
            <w:proofErr w:type="spellStart"/>
            <w:r w:rsidRPr="005B46A2">
              <w:rPr>
                <w:rFonts w:ascii="Gill Sans MT" w:hAnsi="Gill Sans MT"/>
                <w:spacing w:val="-4"/>
              </w:rPr>
              <w:t>Vocabulaire</w:t>
            </w:r>
            <w:proofErr w:type="spellEnd"/>
            <w:r w:rsidRPr="005B46A2">
              <w:rPr>
                <w:rFonts w:ascii="Gill Sans MT" w:hAnsi="Gill Sans MT"/>
                <w:spacing w:val="-2"/>
              </w:rPr>
              <w:t xml:space="preserve"> </w:t>
            </w:r>
            <w:proofErr w:type="gramStart"/>
            <w:r w:rsidRPr="005B46A2">
              <w:rPr>
                <w:rFonts w:ascii="Gill Sans MT" w:hAnsi="Gill Sans MT"/>
              </w:rPr>
              <w:t>correct</w:t>
            </w:r>
            <w:proofErr w:type="gramEnd"/>
          </w:p>
          <w:p w14:paraId="0A4097CA" w14:textId="77777777" w:rsidR="005B46A2" w:rsidRPr="005B46A2" w:rsidRDefault="005B46A2" w:rsidP="005B46A2">
            <w:pPr>
              <w:numPr>
                <w:ilvl w:val="0"/>
                <w:numId w:val="1"/>
              </w:numPr>
              <w:tabs>
                <w:tab w:val="left" w:pos="793"/>
                <w:tab w:val="left" w:pos="795"/>
              </w:tabs>
              <w:spacing w:before="150"/>
              <w:ind w:left="794" w:hanging="361"/>
              <w:rPr>
                <w:rFonts w:ascii="Gill Sans MT" w:hAnsi="Gill Sans MT"/>
              </w:rPr>
            </w:pPr>
            <w:proofErr w:type="spellStart"/>
            <w:r w:rsidRPr="005B46A2">
              <w:rPr>
                <w:rFonts w:ascii="Gill Sans MT" w:hAnsi="Gill Sans MT"/>
              </w:rPr>
              <w:t>Orthographie</w:t>
            </w:r>
            <w:proofErr w:type="spellEnd"/>
          </w:p>
          <w:p w14:paraId="6B0BD07C" w14:textId="77777777" w:rsidR="005B46A2" w:rsidRPr="005B46A2" w:rsidRDefault="005B46A2" w:rsidP="005B46A2">
            <w:pPr>
              <w:numPr>
                <w:ilvl w:val="0"/>
                <w:numId w:val="1"/>
              </w:numPr>
              <w:tabs>
                <w:tab w:val="left" w:pos="793"/>
                <w:tab w:val="left" w:pos="795"/>
              </w:tabs>
              <w:spacing w:before="158"/>
              <w:ind w:left="794" w:hanging="361"/>
              <w:rPr>
                <w:rFonts w:ascii="Gill Sans MT" w:hAnsi="Gill Sans MT"/>
              </w:rPr>
            </w:pPr>
            <w:r w:rsidRPr="005B46A2">
              <w:rPr>
                <w:rFonts w:ascii="Gill Sans MT" w:hAnsi="Gill Sans MT"/>
              </w:rPr>
              <w:t>Pas de</w:t>
            </w:r>
            <w:r w:rsidRPr="005B46A2">
              <w:rPr>
                <w:rFonts w:ascii="Gill Sans MT" w:hAnsi="Gill Sans MT"/>
                <w:spacing w:val="-4"/>
              </w:rPr>
              <w:t xml:space="preserve"> </w:t>
            </w:r>
            <w:proofErr w:type="spellStart"/>
            <w:r w:rsidRPr="005B46A2">
              <w:rPr>
                <w:rFonts w:ascii="Gill Sans MT" w:hAnsi="Gill Sans MT"/>
              </w:rPr>
              <w:t>redites</w:t>
            </w:r>
            <w:proofErr w:type="spellEnd"/>
          </w:p>
        </w:tc>
        <w:tc>
          <w:tcPr>
            <w:tcW w:w="3130" w:type="dxa"/>
            <w:tcBorders>
              <w:left w:val="single" w:sz="4" w:space="0" w:color="000000"/>
              <w:right w:val="single" w:sz="4" w:space="0" w:color="000000"/>
            </w:tcBorders>
          </w:tcPr>
          <w:p w14:paraId="3F4A166A" w14:textId="77777777" w:rsidR="005B46A2" w:rsidRPr="005B46A2" w:rsidRDefault="005B46A2" w:rsidP="005B46A2">
            <w:pPr>
              <w:rPr>
                <w:rFonts w:ascii="Gill Sans MT" w:hAnsi="Gill Sans MT"/>
              </w:rPr>
            </w:pPr>
          </w:p>
        </w:tc>
      </w:tr>
    </w:tbl>
    <w:p w14:paraId="04D905A6" w14:textId="77777777" w:rsidR="005B46A2" w:rsidRPr="005B46A2" w:rsidRDefault="005B46A2" w:rsidP="005B46A2">
      <w:pPr>
        <w:widowControl w:val="0"/>
        <w:autoSpaceDE w:val="0"/>
        <w:autoSpaceDN w:val="0"/>
        <w:spacing w:before="261" w:after="0" w:line="240" w:lineRule="auto"/>
        <w:ind w:left="251"/>
        <w:jc w:val="center"/>
        <w:outlineLvl w:val="0"/>
        <w:rPr>
          <w:rFonts w:ascii="Gill Sans MT" w:eastAsia="Times New Roman" w:hAnsi="Gill Sans MT" w:cs="Times New Roman"/>
          <w:b/>
          <w:bCs/>
          <w:sz w:val="24"/>
          <w:szCs w:val="24"/>
        </w:rPr>
      </w:pPr>
      <w:r w:rsidRPr="005B46A2">
        <w:rPr>
          <w:rFonts w:ascii="Gill Sans MT" w:eastAsia="Times New Roman" w:hAnsi="Gill Sans MT" w:cs="Times New Roman"/>
          <w:b/>
          <w:bCs/>
          <w:sz w:val="24"/>
          <w:szCs w:val="24"/>
        </w:rPr>
        <w:t>Des manquements majeurs au second critère peuvent entraîner l’échec.</w:t>
      </w:r>
    </w:p>
    <w:p w14:paraId="14BA5799" w14:textId="77777777" w:rsidR="005B46A2" w:rsidRPr="005B46A2" w:rsidRDefault="005B46A2" w:rsidP="005B46A2">
      <w:pPr>
        <w:widowControl w:val="0"/>
        <w:autoSpaceDE w:val="0"/>
        <w:autoSpaceDN w:val="0"/>
        <w:spacing w:before="1" w:after="0" w:line="240" w:lineRule="auto"/>
        <w:rPr>
          <w:rFonts w:ascii="Gill Sans MT" w:eastAsia="Times New Roman" w:hAnsi="Gill Sans MT" w:cs="Times New Roman"/>
          <w:b/>
          <w:sz w:val="28"/>
          <w:szCs w:val="24"/>
        </w:rPr>
      </w:pPr>
    </w:p>
    <w:p w14:paraId="4BBF3517" w14:textId="77777777" w:rsidR="005B46A2" w:rsidRPr="005B46A2" w:rsidRDefault="005B46A2" w:rsidP="005B46A2">
      <w:pPr>
        <w:widowControl w:val="0"/>
        <w:autoSpaceDE w:val="0"/>
        <w:autoSpaceDN w:val="0"/>
        <w:spacing w:after="0" w:line="240" w:lineRule="auto"/>
        <w:rPr>
          <w:rFonts w:ascii="Gill Sans MT" w:eastAsia="Times New Roman" w:hAnsi="Gill Sans MT" w:cs="Times New Roman"/>
          <w:b/>
          <w:bCs/>
          <w:i/>
          <w:iCs/>
        </w:rPr>
      </w:pPr>
      <w:r w:rsidRPr="005B46A2">
        <w:rPr>
          <w:rFonts w:ascii="Gill Sans MT" w:eastAsia="Times New Roman" w:hAnsi="Gill Sans MT" w:cs="Times New Roman"/>
          <w:b/>
          <w:bCs/>
          <w:i/>
          <w:iCs/>
        </w:rPr>
        <w:t>Conseils pour résumer un texte :</w:t>
      </w:r>
    </w:p>
    <w:p w14:paraId="01648927" w14:textId="77777777" w:rsidR="005B46A2" w:rsidRPr="005B46A2" w:rsidRDefault="005B46A2" w:rsidP="005B46A2">
      <w:pPr>
        <w:widowControl w:val="0"/>
        <w:autoSpaceDE w:val="0"/>
        <w:autoSpaceDN w:val="0"/>
        <w:spacing w:after="0" w:line="240" w:lineRule="auto"/>
        <w:rPr>
          <w:rFonts w:ascii="Gill Sans MT" w:eastAsia="Times New Roman" w:hAnsi="Gill Sans MT" w:cs="Times New Roman"/>
        </w:rPr>
      </w:pPr>
    </w:p>
    <w:p w14:paraId="08EE4FD3" w14:textId="77777777" w:rsidR="005B46A2" w:rsidRPr="005B46A2" w:rsidRDefault="005B46A2" w:rsidP="005B46A2">
      <w:pPr>
        <w:widowControl w:val="0"/>
        <w:autoSpaceDE w:val="0"/>
        <w:autoSpaceDN w:val="0"/>
        <w:spacing w:after="0" w:line="240" w:lineRule="auto"/>
        <w:jc w:val="both"/>
        <w:rPr>
          <w:rFonts w:ascii="Gill Sans MT" w:eastAsia="Times New Roman" w:hAnsi="Gill Sans MT" w:cs="Times New Roman"/>
        </w:rPr>
      </w:pPr>
      <w:r w:rsidRPr="005B46A2">
        <w:rPr>
          <w:rFonts w:ascii="Gill Sans MT" w:eastAsia="Times New Roman" w:hAnsi="Gill Sans MT" w:cs="Times New Roman"/>
        </w:rPr>
        <w:t>L’essentiel du résumé gagne à se faire dans la tête avant de se faire par écrit sur la feuille. Et il faut résumer en se détachant du texte à résumer. Pendant la lecture, arrêtez-vous régulièrement, retournez le texte et organisez au fur et à mesure, dans votre tête, ce qu’il dit. En dégageant et reformulant les idées-clefs.</w:t>
      </w:r>
    </w:p>
    <w:p w14:paraId="3978FD0A" w14:textId="77777777" w:rsidR="005B46A2" w:rsidRPr="005B46A2" w:rsidRDefault="005B46A2" w:rsidP="005B46A2">
      <w:pPr>
        <w:widowControl w:val="0"/>
        <w:autoSpaceDE w:val="0"/>
        <w:autoSpaceDN w:val="0"/>
        <w:spacing w:after="0" w:line="240" w:lineRule="auto"/>
        <w:jc w:val="both"/>
        <w:rPr>
          <w:rFonts w:ascii="Gill Sans MT" w:eastAsia="Times New Roman" w:hAnsi="Gill Sans MT" w:cs="Times New Roman"/>
        </w:rPr>
      </w:pPr>
    </w:p>
    <w:p w14:paraId="71902E20" w14:textId="77777777" w:rsidR="005B46A2" w:rsidRPr="005B46A2" w:rsidRDefault="005B46A2" w:rsidP="005B46A2">
      <w:pPr>
        <w:widowControl w:val="0"/>
        <w:autoSpaceDE w:val="0"/>
        <w:autoSpaceDN w:val="0"/>
        <w:spacing w:after="0" w:line="240" w:lineRule="auto"/>
        <w:jc w:val="both"/>
        <w:rPr>
          <w:rFonts w:ascii="Gill Sans MT" w:eastAsia="Times New Roman" w:hAnsi="Gill Sans MT" w:cs="Times New Roman"/>
        </w:rPr>
      </w:pPr>
      <w:r w:rsidRPr="005B46A2">
        <w:rPr>
          <w:rFonts w:ascii="Gill Sans MT" w:eastAsia="Times New Roman" w:hAnsi="Gill Sans MT" w:cs="Times New Roman"/>
        </w:rPr>
        <w:t>Une fois que vous avez bien lu le texte, éventuellement relu et rerelu pour l’avoir suffisamment compris, entamez le travail de résumé d’abord sans rien écrire : répétez-vous intérieurement l’enchaînement des idées (du début à la fin) de la façon la plus courte possible. Éventuellement, vous pouvez les visualiser.</w:t>
      </w:r>
    </w:p>
    <w:p w14:paraId="434680B4" w14:textId="77777777" w:rsidR="005B46A2" w:rsidRPr="005B46A2" w:rsidRDefault="005B46A2" w:rsidP="005B46A2">
      <w:pPr>
        <w:widowControl w:val="0"/>
        <w:autoSpaceDE w:val="0"/>
        <w:autoSpaceDN w:val="0"/>
        <w:spacing w:after="0" w:line="240" w:lineRule="auto"/>
        <w:jc w:val="both"/>
        <w:rPr>
          <w:rFonts w:ascii="Gill Sans MT" w:eastAsia="Times New Roman" w:hAnsi="Gill Sans MT" w:cs="Times New Roman"/>
        </w:rPr>
      </w:pPr>
    </w:p>
    <w:p w14:paraId="02C455A2" w14:textId="77777777" w:rsidR="005B46A2" w:rsidRPr="005B46A2" w:rsidRDefault="005B46A2" w:rsidP="005B46A2">
      <w:pPr>
        <w:widowControl w:val="0"/>
        <w:autoSpaceDE w:val="0"/>
        <w:autoSpaceDN w:val="0"/>
        <w:spacing w:after="0" w:line="240" w:lineRule="auto"/>
        <w:jc w:val="both"/>
        <w:rPr>
          <w:rFonts w:ascii="Gill Sans MT" w:eastAsia="Times New Roman" w:hAnsi="Gill Sans MT" w:cs="Times New Roman"/>
        </w:rPr>
      </w:pPr>
      <w:r w:rsidRPr="005B46A2">
        <w:rPr>
          <w:rFonts w:ascii="Gill Sans MT" w:eastAsia="Times New Roman" w:hAnsi="Gill Sans MT" w:cs="Times New Roman"/>
        </w:rPr>
        <w:lastRenderedPageBreak/>
        <w:t>Mettez par écrit ce premier brouillon, comptez le nombre de mots et voyez éventuellement comment l’étoffer en ajoutant des éléments si vous en avez la place. N’oubliez pas de vérifier l’orthographe, la syntaxe.</w:t>
      </w:r>
    </w:p>
    <w:p w14:paraId="0CC2E2AE" w14:textId="4115CBF8" w:rsidR="000F18D9" w:rsidRPr="005B46A2" w:rsidRDefault="000F18D9" w:rsidP="005B46A2">
      <w:pPr>
        <w:tabs>
          <w:tab w:val="left" w:pos="375"/>
        </w:tabs>
        <w:rPr>
          <w:rFonts w:ascii="Gill Sans MT" w:hAnsi="Gill Sans MT"/>
        </w:rPr>
      </w:pPr>
    </w:p>
    <w:sectPr w:rsidR="000F18D9" w:rsidRPr="005B46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4DD8" w14:textId="77777777" w:rsidR="003416AA" w:rsidRDefault="003416AA" w:rsidP="00B422C9">
      <w:pPr>
        <w:spacing w:after="0" w:line="240" w:lineRule="auto"/>
      </w:pPr>
      <w:r>
        <w:separator/>
      </w:r>
    </w:p>
  </w:endnote>
  <w:endnote w:type="continuationSeparator" w:id="0">
    <w:p w14:paraId="63DC2040" w14:textId="77777777" w:rsidR="003416AA" w:rsidRDefault="003416AA" w:rsidP="00B4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4F42" w14:textId="77777777" w:rsidR="003416AA" w:rsidRDefault="003416AA" w:rsidP="00B422C9">
      <w:pPr>
        <w:spacing w:after="0" w:line="240" w:lineRule="auto"/>
      </w:pPr>
      <w:r>
        <w:separator/>
      </w:r>
    </w:p>
  </w:footnote>
  <w:footnote w:type="continuationSeparator" w:id="0">
    <w:p w14:paraId="71579874" w14:textId="77777777" w:rsidR="003416AA" w:rsidRDefault="003416AA" w:rsidP="00B422C9">
      <w:pPr>
        <w:spacing w:after="0" w:line="240" w:lineRule="auto"/>
      </w:pPr>
      <w:r>
        <w:continuationSeparator/>
      </w:r>
    </w:p>
  </w:footnote>
  <w:footnote w:id="1">
    <w:p w14:paraId="060F343B" w14:textId="22E8EEAE" w:rsidR="00B422C9" w:rsidRPr="00EB63AC" w:rsidRDefault="00B422C9">
      <w:pPr>
        <w:pStyle w:val="Notedebasdepage"/>
        <w:rPr>
          <w:sz w:val="24"/>
          <w:szCs w:val="24"/>
        </w:rPr>
      </w:pPr>
      <w:r w:rsidRPr="00EB63AC">
        <w:rPr>
          <w:rStyle w:val="Appelnotedebasdep"/>
          <w:sz w:val="24"/>
          <w:szCs w:val="24"/>
        </w:rPr>
        <w:footnoteRef/>
      </w:r>
      <w:r w:rsidRPr="00EB63AC">
        <w:rPr>
          <w:sz w:val="24"/>
          <w:szCs w:val="24"/>
        </w:rPr>
        <w:t xml:space="preserve"> </w:t>
      </w:r>
      <w:r w:rsidRPr="00EB63AC">
        <w:rPr>
          <w:rStyle w:val="hgkelc"/>
          <w:sz w:val="24"/>
          <w:szCs w:val="24"/>
        </w:rPr>
        <w:t>Émetteur d'ultrasons implanté sur un bien public ou privé, dénommé "</w:t>
      </w:r>
      <w:r w:rsidRPr="00EB63AC">
        <w:rPr>
          <w:rStyle w:val="hgkelc"/>
          <w:b/>
          <w:bCs/>
          <w:sz w:val="24"/>
          <w:szCs w:val="24"/>
        </w:rPr>
        <w:t>Mosquito</w:t>
      </w:r>
      <w:r w:rsidRPr="00EB63AC">
        <w:rPr>
          <w:rStyle w:val="hgkelc"/>
          <w:sz w:val="24"/>
          <w:szCs w:val="24"/>
        </w:rPr>
        <w:t>", dans le but de dissuader une partie de la population à fréquenter un espace public ou privé.</w:t>
      </w:r>
    </w:p>
  </w:footnote>
  <w:footnote w:id="2">
    <w:p w14:paraId="3EF43694" w14:textId="56AE17A1" w:rsidR="00936DD9" w:rsidRDefault="00936DD9">
      <w:pPr>
        <w:pStyle w:val="Notedebasdepage"/>
      </w:pPr>
      <w:r w:rsidRPr="00EB63AC">
        <w:rPr>
          <w:rStyle w:val="Appelnotedebasdep"/>
          <w:sz w:val="24"/>
          <w:szCs w:val="24"/>
        </w:rPr>
        <w:footnoteRef/>
      </w:r>
      <w:r w:rsidRPr="00EB63AC">
        <w:rPr>
          <w:sz w:val="24"/>
          <w:szCs w:val="24"/>
        </w:rPr>
        <w:t xml:space="preserve"> Le Conseil de la Jeunesse Catholique est </w:t>
      </w:r>
      <w:r w:rsidR="005B46A2" w:rsidRPr="00EB63AC">
        <w:rPr>
          <w:sz w:val="24"/>
          <w:szCs w:val="24"/>
        </w:rPr>
        <w:t>Fédération d’Organisations de Jeunesse reconnue par la Fédération Wallonie-Bruxelles, le Conseil de la Jeunesse Catholique (CJC) regroupe 26 associations œuvrant dans le domaine de la Jeunesse. À travers des métiers et des centres d’action riches et variés, ces associations rassemblent près de 200.000 jeunes qui s’investissent chaque année dans une dynamique citoyenne, responsable, active, critique et solidaire.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6B9"/>
    <w:multiLevelType w:val="hybridMultilevel"/>
    <w:tmpl w:val="DC44A118"/>
    <w:lvl w:ilvl="0" w:tplc="9FFE6AD8">
      <w:numFmt w:val="bullet"/>
      <w:lvlText w:val=""/>
      <w:lvlJc w:val="left"/>
      <w:pPr>
        <w:ind w:left="433" w:hanging="360"/>
      </w:pPr>
      <w:rPr>
        <w:rFonts w:ascii="Symbol" w:eastAsia="Symbol" w:hAnsi="Symbol" w:cs="Symbol" w:hint="default"/>
        <w:w w:val="100"/>
        <w:sz w:val="18"/>
        <w:szCs w:val="18"/>
      </w:rPr>
    </w:lvl>
    <w:lvl w:ilvl="1" w:tplc="53B0EAB6">
      <w:numFmt w:val="bullet"/>
      <w:lvlText w:val="•"/>
      <w:lvlJc w:val="left"/>
      <w:pPr>
        <w:ind w:left="702" w:hanging="360"/>
      </w:pPr>
      <w:rPr>
        <w:rFonts w:hint="default"/>
      </w:rPr>
    </w:lvl>
    <w:lvl w:ilvl="2" w:tplc="D472A628">
      <w:numFmt w:val="bullet"/>
      <w:lvlText w:val="•"/>
      <w:lvlJc w:val="left"/>
      <w:pPr>
        <w:ind w:left="964" w:hanging="360"/>
      </w:pPr>
      <w:rPr>
        <w:rFonts w:hint="default"/>
      </w:rPr>
    </w:lvl>
    <w:lvl w:ilvl="3" w:tplc="FDA8D6C6">
      <w:numFmt w:val="bullet"/>
      <w:lvlText w:val="•"/>
      <w:lvlJc w:val="left"/>
      <w:pPr>
        <w:ind w:left="1226" w:hanging="360"/>
      </w:pPr>
      <w:rPr>
        <w:rFonts w:hint="default"/>
      </w:rPr>
    </w:lvl>
    <w:lvl w:ilvl="4" w:tplc="F6023A4A">
      <w:numFmt w:val="bullet"/>
      <w:lvlText w:val="•"/>
      <w:lvlJc w:val="left"/>
      <w:pPr>
        <w:ind w:left="1488" w:hanging="360"/>
      </w:pPr>
      <w:rPr>
        <w:rFonts w:hint="default"/>
      </w:rPr>
    </w:lvl>
    <w:lvl w:ilvl="5" w:tplc="870A2782">
      <w:numFmt w:val="bullet"/>
      <w:lvlText w:val="•"/>
      <w:lvlJc w:val="left"/>
      <w:pPr>
        <w:ind w:left="1751" w:hanging="360"/>
      </w:pPr>
      <w:rPr>
        <w:rFonts w:hint="default"/>
      </w:rPr>
    </w:lvl>
    <w:lvl w:ilvl="6" w:tplc="0C1E1FEA">
      <w:numFmt w:val="bullet"/>
      <w:lvlText w:val="•"/>
      <w:lvlJc w:val="left"/>
      <w:pPr>
        <w:ind w:left="2013" w:hanging="360"/>
      </w:pPr>
      <w:rPr>
        <w:rFonts w:hint="default"/>
      </w:rPr>
    </w:lvl>
    <w:lvl w:ilvl="7" w:tplc="B934A952">
      <w:numFmt w:val="bullet"/>
      <w:lvlText w:val="•"/>
      <w:lvlJc w:val="left"/>
      <w:pPr>
        <w:ind w:left="2275" w:hanging="360"/>
      </w:pPr>
      <w:rPr>
        <w:rFonts w:hint="default"/>
      </w:rPr>
    </w:lvl>
    <w:lvl w:ilvl="8" w:tplc="1C0689DA">
      <w:numFmt w:val="bullet"/>
      <w:lvlText w:val="•"/>
      <w:lvlJc w:val="left"/>
      <w:pPr>
        <w:ind w:left="2537" w:hanging="360"/>
      </w:pPr>
      <w:rPr>
        <w:rFonts w:hint="default"/>
      </w:rPr>
    </w:lvl>
  </w:abstractNum>
  <w:abstractNum w:abstractNumId="1" w15:restartNumberingAfterBreak="0">
    <w:nsid w:val="6EA15B1D"/>
    <w:multiLevelType w:val="hybridMultilevel"/>
    <w:tmpl w:val="4D3687E6"/>
    <w:lvl w:ilvl="0" w:tplc="1812CFA0">
      <w:numFmt w:val="bullet"/>
      <w:lvlText w:val=""/>
      <w:lvlJc w:val="left"/>
      <w:pPr>
        <w:ind w:left="433" w:hanging="360"/>
      </w:pPr>
      <w:rPr>
        <w:rFonts w:ascii="Symbol" w:eastAsia="Symbol" w:hAnsi="Symbol" w:cs="Symbol" w:hint="default"/>
        <w:w w:val="100"/>
        <w:sz w:val="18"/>
        <w:szCs w:val="18"/>
      </w:rPr>
    </w:lvl>
    <w:lvl w:ilvl="1" w:tplc="C1347CF4">
      <w:numFmt w:val="bullet"/>
      <w:lvlText w:val="•"/>
      <w:lvlJc w:val="left"/>
      <w:pPr>
        <w:ind w:left="702" w:hanging="360"/>
      </w:pPr>
      <w:rPr>
        <w:rFonts w:hint="default"/>
      </w:rPr>
    </w:lvl>
    <w:lvl w:ilvl="2" w:tplc="4432C548">
      <w:numFmt w:val="bullet"/>
      <w:lvlText w:val="•"/>
      <w:lvlJc w:val="left"/>
      <w:pPr>
        <w:ind w:left="964" w:hanging="360"/>
      </w:pPr>
      <w:rPr>
        <w:rFonts w:hint="default"/>
      </w:rPr>
    </w:lvl>
    <w:lvl w:ilvl="3" w:tplc="FA124EAE">
      <w:numFmt w:val="bullet"/>
      <w:lvlText w:val="•"/>
      <w:lvlJc w:val="left"/>
      <w:pPr>
        <w:ind w:left="1226" w:hanging="360"/>
      </w:pPr>
      <w:rPr>
        <w:rFonts w:hint="default"/>
      </w:rPr>
    </w:lvl>
    <w:lvl w:ilvl="4" w:tplc="DEF0405E">
      <w:numFmt w:val="bullet"/>
      <w:lvlText w:val="•"/>
      <w:lvlJc w:val="left"/>
      <w:pPr>
        <w:ind w:left="1488" w:hanging="360"/>
      </w:pPr>
      <w:rPr>
        <w:rFonts w:hint="default"/>
      </w:rPr>
    </w:lvl>
    <w:lvl w:ilvl="5" w:tplc="BE5C402E">
      <w:numFmt w:val="bullet"/>
      <w:lvlText w:val="•"/>
      <w:lvlJc w:val="left"/>
      <w:pPr>
        <w:ind w:left="1751" w:hanging="360"/>
      </w:pPr>
      <w:rPr>
        <w:rFonts w:hint="default"/>
      </w:rPr>
    </w:lvl>
    <w:lvl w:ilvl="6" w:tplc="6EB699E8">
      <w:numFmt w:val="bullet"/>
      <w:lvlText w:val="•"/>
      <w:lvlJc w:val="left"/>
      <w:pPr>
        <w:ind w:left="2013" w:hanging="360"/>
      </w:pPr>
      <w:rPr>
        <w:rFonts w:hint="default"/>
      </w:rPr>
    </w:lvl>
    <w:lvl w:ilvl="7" w:tplc="D15AE87C">
      <w:numFmt w:val="bullet"/>
      <w:lvlText w:val="•"/>
      <w:lvlJc w:val="left"/>
      <w:pPr>
        <w:ind w:left="2275" w:hanging="360"/>
      </w:pPr>
      <w:rPr>
        <w:rFonts w:hint="default"/>
      </w:rPr>
    </w:lvl>
    <w:lvl w:ilvl="8" w:tplc="93824D40">
      <w:numFmt w:val="bullet"/>
      <w:lvlText w:val="•"/>
      <w:lvlJc w:val="left"/>
      <w:pPr>
        <w:ind w:left="2537" w:hanging="360"/>
      </w:pPr>
      <w:rPr>
        <w:rFonts w:hint="default"/>
      </w:rPr>
    </w:lvl>
  </w:abstractNum>
  <w:abstractNum w:abstractNumId="2" w15:restartNumberingAfterBreak="0">
    <w:nsid w:val="7A044380"/>
    <w:multiLevelType w:val="hybridMultilevel"/>
    <w:tmpl w:val="B6485FE0"/>
    <w:lvl w:ilvl="0" w:tplc="6BB0DD10">
      <w:numFmt w:val="bullet"/>
      <w:lvlText w:val=""/>
      <w:lvlJc w:val="left"/>
      <w:pPr>
        <w:ind w:left="793" w:hanging="360"/>
      </w:pPr>
      <w:rPr>
        <w:rFonts w:ascii="Symbol" w:eastAsia="Symbol" w:hAnsi="Symbol" w:cs="Symbol" w:hint="default"/>
        <w:w w:val="100"/>
        <w:sz w:val="22"/>
        <w:szCs w:val="22"/>
      </w:rPr>
    </w:lvl>
    <w:lvl w:ilvl="1" w:tplc="49EC45F0">
      <w:numFmt w:val="bullet"/>
      <w:lvlText w:val="•"/>
      <w:lvlJc w:val="left"/>
      <w:pPr>
        <w:ind w:left="1026" w:hanging="360"/>
      </w:pPr>
      <w:rPr>
        <w:rFonts w:hint="default"/>
      </w:rPr>
    </w:lvl>
    <w:lvl w:ilvl="2" w:tplc="9ABC968A">
      <w:numFmt w:val="bullet"/>
      <w:lvlText w:val="•"/>
      <w:lvlJc w:val="left"/>
      <w:pPr>
        <w:ind w:left="1252" w:hanging="360"/>
      </w:pPr>
      <w:rPr>
        <w:rFonts w:hint="default"/>
      </w:rPr>
    </w:lvl>
    <w:lvl w:ilvl="3" w:tplc="D8F0EB92">
      <w:numFmt w:val="bullet"/>
      <w:lvlText w:val="•"/>
      <w:lvlJc w:val="left"/>
      <w:pPr>
        <w:ind w:left="1478" w:hanging="360"/>
      </w:pPr>
      <w:rPr>
        <w:rFonts w:hint="default"/>
      </w:rPr>
    </w:lvl>
    <w:lvl w:ilvl="4" w:tplc="CD20F5A8">
      <w:numFmt w:val="bullet"/>
      <w:lvlText w:val="•"/>
      <w:lvlJc w:val="left"/>
      <w:pPr>
        <w:ind w:left="1704" w:hanging="360"/>
      </w:pPr>
      <w:rPr>
        <w:rFonts w:hint="default"/>
      </w:rPr>
    </w:lvl>
    <w:lvl w:ilvl="5" w:tplc="B9BCEFAE">
      <w:numFmt w:val="bullet"/>
      <w:lvlText w:val="•"/>
      <w:lvlJc w:val="left"/>
      <w:pPr>
        <w:ind w:left="1931" w:hanging="360"/>
      </w:pPr>
      <w:rPr>
        <w:rFonts w:hint="default"/>
      </w:rPr>
    </w:lvl>
    <w:lvl w:ilvl="6" w:tplc="910E34EC">
      <w:numFmt w:val="bullet"/>
      <w:lvlText w:val="•"/>
      <w:lvlJc w:val="left"/>
      <w:pPr>
        <w:ind w:left="2157" w:hanging="360"/>
      </w:pPr>
      <w:rPr>
        <w:rFonts w:hint="default"/>
      </w:rPr>
    </w:lvl>
    <w:lvl w:ilvl="7" w:tplc="BDF6FE3C">
      <w:numFmt w:val="bullet"/>
      <w:lvlText w:val="•"/>
      <w:lvlJc w:val="left"/>
      <w:pPr>
        <w:ind w:left="2383" w:hanging="360"/>
      </w:pPr>
      <w:rPr>
        <w:rFonts w:hint="default"/>
      </w:rPr>
    </w:lvl>
    <w:lvl w:ilvl="8" w:tplc="D7D2551E">
      <w:numFmt w:val="bullet"/>
      <w:lvlText w:val="•"/>
      <w:lvlJc w:val="left"/>
      <w:pPr>
        <w:ind w:left="2609" w:hanging="360"/>
      </w:pPr>
      <w:rPr>
        <w:rFonts w:hint="default"/>
      </w:rPr>
    </w:lvl>
  </w:abstractNum>
  <w:num w:numId="1" w16cid:durableId="2084375603">
    <w:abstractNumId w:val="2"/>
  </w:num>
  <w:num w:numId="2" w16cid:durableId="1149596305">
    <w:abstractNumId w:val="1"/>
  </w:num>
  <w:num w:numId="3" w16cid:durableId="207454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9E"/>
    <w:rsid w:val="000F18D9"/>
    <w:rsid w:val="003416AA"/>
    <w:rsid w:val="00405A1B"/>
    <w:rsid w:val="00414B9E"/>
    <w:rsid w:val="004324E9"/>
    <w:rsid w:val="005B46A2"/>
    <w:rsid w:val="00936DD9"/>
    <w:rsid w:val="00B422C9"/>
    <w:rsid w:val="00EB63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3FB5"/>
  <w15:chartTrackingRefBased/>
  <w15:docId w15:val="{6071BF59-A10E-48B7-80DF-0671E399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14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4B9E"/>
    <w:rPr>
      <w:rFonts w:ascii="Times New Roman" w:eastAsia="Times New Roman" w:hAnsi="Times New Roman" w:cs="Times New Roman"/>
      <w:b/>
      <w:bCs/>
      <w:kern w:val="36"/>
      <w:sz w:val="48"/>
      <w:szCs w:val="48"/>
      <w:lang w:eastAsia="fr-BE"/>
    </w:rPr>
  </w:style>
  <w:style w:type="paragraph" w:customStyle="1" w:styleId="entry-meta">
    <w:name w:val="entry-meta"/>
    <w:basedOn w:val="Normal"/>
    <w:rsid w:val="00414B9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ntry-author">
    <w:name w:val="entry-author"/>
    <w:basedOn w:val="Policepardfaut"/>
    <w:rsid w:val="00414B9E"/>
  </w:style>
  <w:style w:type="character" w:styleId="Lienhypertexte">
    <w:name w:val="Hyperlink"/>
    <w:basedOn w:val="Policepardfaut"/>
    <w:uiPriority w:val="99"/>
    <w:semiHidden/>
    <w:unhideWhenUsed/>
    <w:rsid w:val="00414B9E"/>
    <w:rPr>
      <w:color w:val="0000FF"/>
      <w:u w:val="single"/>
    </w:rPr>
  </w:style>
  <w:style w:type="character" w:customStyle="1" w:styleId="entry-author-name">
    <w:name w:val="entry-author-name"/>
    <w:basedOn w:val="Policepardfaut"/>
    <w:rsid w:val="00414B9E"/>
  </w:style>
  <w:style w:type="paragraph" w:styleId="NormalWeb">
    <w:name w:val="Normal (Web)"/>
    <w:basedOn w:val="Normal"/>
    <w:uiPriority w:val="99"/>
    <w:semiHidden/>
    <w:unhideWhenUsed/>
    <w:rsid w:val="00414B9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414B9E"/>
    <w:rPr>
      <w:b/>
      <w:bCs/>
    </w:rPr>
  </w:style>
  <w:style w:type="character" w:styleId="Accentuation">
    <w:name w:val="Emphasis"/>
    <w:basedOn w:val="Policepardfaut"/>
    <w:uiPriority w:val="20"/>
    <w:qFormat/>
    <w:rsid w:val="00414B9E"/>
    <w:rPr>
      <w:i/>
      <w:iCs/>
    </w:rPr>
  </w:style>
  <w:style w:type="paragraph" w:styleId="Notedebasdepage">
    <w:name w:val="footnote text"/>
    <w:basedOn w:val="Normal"/>
    <w:link w:val="NotedebasdepageCar"/>
    <w:uiPriority w:val="99"/>
    <w:semiHidden/>
    <w:unhideWhenUsed/>
    <w:rsid w:val="00B422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22C9"/>
    <w:rPr>
      <w:sz w:val="20"/>
      <w:szCs w:val="20"/>
    </w:rPr>
  </w:style>
  <w:style w:type="character" w:styleId="Appelnotedebasdep">
    <w:name w:val="footnote reference"/>
    <w:basedOn w:val="Policepardfaut"/>
    <w:uiPriority w:val="99"/>
    <w:semiHidden/>
    <w:unhideWhenUsed/>
    <w:rsid w:val="00B422C9"/>
    <w:rPr>
      <w:vertAlign w:val="superscript"/>
    </w:rPr>
  </w:style>
  <w:style w:type="character" w:customStyle="1" w:styleId="hgkelc">
    <w:name w:val="hgkelc"/>
    <w:basedOn w:val="Policepardfaut"/>
    <w:rsid w:val="00B422C9"/>
  </w:style>
  <w:style w:type="table" w:customStyle="1" w:styleId="TableNormal">
    <w:name w:val="Table Normal"/>
    <w:uiPriority w:val="2"/>
    <w:semiHidden/>
    <w:unhideWhenUsed/>
    <w:qFormat/>
    <w:rsid w:val="005B46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64884">
      <w:bodyDiv w:val="1"/>
      <w:marLeft w:val="0"/>
      <w:marRight w:val="0"/>
      <w:marTop w:val="0"/>
      <w:marBottom w:val="0"/>
      <w:divBdr>
        <w:top w:val="none" w:sz="0" w:space="0" w:color="auto"/>
        <w:left w:val="none" w:sz="0" w:space="0" w:color="auto"/>
        <w:bottom w:val="none" w:sz="0" w:space="0" w:color="auto"/>
        <w:right w:val="none" w:sz="0" w:space="0" w:color="auto"/>
      </w:divBdr>
      <w:divsChild>
        <w:div w:id="358556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bel.be/tag/conseil-de-la-jeunesse/" TargetMode="External"/><Relationship Id="rId3" Type="http://schemas.openxmlformats.org/officeDocument/2006/relationships/settings" Target="settings.xml"/><Relationship Id="rId7" Type="http://schemas.openxmlformats.org/officeDocument/2006/relationships/hyperlink" Target="https://www.cathobel.be/author/red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thobel.be/tag/intergenerationn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2023-03-15T09:22:00Z</cp:lastPrinted>
  <dcterms:created xsi:type="dcterms:W3CDTF">2023-03-15T09:23:00Z</dcterms:created>
  <dcterms:modified xsi:type="dcterms:W3CDTF">2023-03-15T09:23:00Z</dcterms:modified>
</cp:coreProperties>
</file>